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3F782B" w14:textId="77777777" w:rsidR="002C4A0A" w:rsidRPr="00C27AEE" w:rsidRDefault="002C4A0A" w:rsidP="002C4A0A">
      <w:pPr>
        <w:widowControl w:val="0"/>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4DF20960" w14:textId="77777777" w:rsidR="002C4A0A" w:rsidRDefault="002C4A0A" w:rsidP="002C4A0A">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595E762D" w14:textId="77777777" w:rsidR="002C4A0A" w:rsidRDefault="002C4A0A" w:rsidP="002C4A0A">
      <w:pPr>
        <w:widowControl w:val="0"/>
        <w:bidi/>
        <w:spacing w:after="240" w:line="259" w:lineRule="auto"/>
        <w:jc w:val="center"/>
        <w:rPr>
          <w:rFonts w:cs="B Mitra"/>
          <w:b/>
          <w:bCs/>
          <w:sz w:val="32"/>
          <w:szCs w:val="32"/>
          <w:rtl/>
          <w:lang w:bidi="fa-IR"/>
        </w:rPr>
      </w:pPr>
      <w:r>
        <w:rPr>
          <w:rFonts w:cs="B Mitra" w:hint="cs"/>
          <w:b/>
          <w:bCs/>
          <w:sz w:val="32"/>
          <w:szCs w:val="32"/>
          <w:rtl/>
          <w:lang w:bidi="fa-IR"/>
        </w:rPr>
        <w:t>جلسه 912</w:t>
      </w:r>
    </w:p>
    <w:bookmarkEnd w:id="0"/>
    <w:p w14:paraId="17E86F12" w14:textId="77777777" w:rsidR="002C4A0A" w:rsidRDefault="002C4A0A" w:rsidP="002C4A0A">
      <w:pPr>
        <w:widowControl w:val="0"/>
        <w:bidi/>
        <w:spacing w:before="240" w:line="247" w:lineRule="auto"/>
        <w:ind w:firstLine="289"/>
        <w:jc w:val="both"/>
        <w:rPr>
          <w:rFonts w:ascii="Amiri" w:hAnsi="Amiri" w:cs="Amiri"/>
          <w:b/>
          <w:bCs/>
          <w:sz w:val="24"/>
          <w:szCs w:val="24"/>
          <w:rtl/>
          <w:lang w:bidi="fa-IR"/>
        </w:rPr>
      </w:pPr>
    </w:p>
    <w:p w14:paraId="4AF9CD65" w14:textId="77777777" w:rsidR="002C4A0A" w:rsidRDefault="002C4A0A" w:rsidP="002C4A0A">
      <w:pPr>
        <w:widowControl w:val="0"/>
        <w:bidi/>
        <w:spacing w:before="240" w:line="259" w:lineRule="auto"/>
        <w:ind w:firstLine="289"/>
        <w:jc w:val="both"/>
        <w:rPr>
          <w:rFonts w:cs="2  Mitra"/>
          <w:sz w:val="28"/>
          <w:szCs w:val="28"/>
          <w:rtl/>
          <w:lang w:bidi="fa-IR"/>
        </w:rPr>
      </w:pPr>
      <w:r>
        <w:rPr>
          <w:rFonts w:cs="2  Mitra" w:hint="cs"/>
          <w:sz w:val="28"/>
          <w:szCs w:val="28"/>
          <w:rtl/>
          <w:lang w:bidi="fa-IR"/>
        </w:rPr>
        <w:t>دو اشکال از اشکالات وارد بر مدعای مرحوم محقق عراقی را جلسه قبل مطرح کردیم.</w:t>
      </w:r>
    </w:p>
    <w:p w14:paraId="6C497CF2" w14:textId="77777777" w:rsidR="002C4A0A" w:rsidRDefault="002C4A0A" w:rsidP="002C4A0A">
      <w:pPr>
        <w:widowControl w:val="0"/>
        <w:bidi/>
        <w:spacing w:before="240" w:line="259" w:lineRule="auto"/>
        <w:ind w:firstLine="289"/>
        <w:jc w:val="both"/>
        <w:rPr>
          <w:rFonts w:cs="2  Mitra"/>
          <w:spacing w:val="-2"/>
          <w:sz w:val="28"/>
          <w:szCs w:val="28"/>
          <w:rtl/>
          <w:lang w:bidi="fa-IR"/>
        </w:rPr>
      </w:pPr>
      <w:r>
        <w:rPr>
          <w:rFonts w:cs="2  Mitra" w:hint="cs"/>
          <w:sz w:val="28"/>
          <w:szCs w:val="28"/>
          <w:rtl/>
          <w:lang w:bidi="fa-IR"/>
        </w:rPr>
        <w:t xml:space="preserve">اشکال سوم مدعای ايشان </w:t>
      </w:r>
      <w:r w:rsidRPr="00F54292">
        <w:rPr>
          <w:rFonts w:cs="2  Mitra" w:hint="cs"/>
          <w:spacing w:val="-2"/>
          <w:sz w:val="28"/>
          <w:szCs w:val="28"/>
          <w:rtl/>
          <w:lang w:bidi="fa-IR"/>
        </w:rPr>
        <w:t xml:space="preserve">اين </w:t>
      </w:r>
      <w:r>
        <w:rPr>
          <w:rFonts w:cs="2  Mitra" w:hint="cs"/>
          <w:spacing w:val="-2"/>
          <w:sz w:val="28"/>
          <w:szCs w:val="28"/>
          <w:rtl/>
          <w:lang w:bidi="fa-IR"/>
        </w:rPr>
        <w:t xml:space="preserve">است که اين مدعا </w:t>
      </w:r>
      <w:r w:rsidRPr="00F54292">
        <w:rPr>
          <w:rFonts w:cs="2  Mitra" w:hint="cs"/>
          <w:spacing w:val="-2"/>
          <w:sz w:val="28"/>
          <w:szCs w:val="28"/>
          <w:rtl/>
          <w:lang w:bidi="fa-IR"/>
        </w:rPr>
        <w:t>که عرف، وصف را دخیل در ذات موضوع می</w:t>
      </w:r>
      <w:r w:rsidRPr="00F54292">
        <w:rPr>
          <w:rFonts w:cs="2  Mitra"/>
          <w:spacing w:val="-2"/>
          <w:sz w:val="28"/>
          <w:szCs w:val="28"/>
          <w:rtl/>
          <w:lang w:bidi="fa-IR"/>
        </w:rPr>
        <w:softHyphen/>
      </w:r>
      <w:r w:rsidRPr="00F54292">
        <w:rPr>
          <w:rFonts w:cs="2  Mitra" w:hint="cs"/>
          <w:spacing w:val="-2"/>
          <w:sz w:val="28"/>
          <w:szCs w:val="28"/>
          <w:rtl/>
          <w:lang w:bidi="fa-IR"/>
        </w:rPr>
        <w:t xml:space="preserve">داند، ادعای بلا وجهی است، </w:t>
      </w:r>
      <w:r>
        <w:rPr>
          <w:rFonts w:cs="2  Mitra" w:hint="cs"/>
          <w:spacing w:val="-2"/>
          <w:sz w:val="28"/>
          <w:szCs w:val="28"/>
          <w:rtl/>
          <w:lang w:bidi="fa-IR"/>
        </w:rPr>
        <w:t>زیرا عرف بین وصف و موصوف قائل به تمایز است و اين مطلب فقط مربوط به تحلیل عقلی نیست.</w:t>
      </w:r>
    </w:p>
    <w:p w14:paraId="5A4B4746" w14:textId="77777777" w:rsidR="002C4A0A" w:rsidRDefault="002C4A0A" w:rsidP="002C4A0A">
      <w:pPr>
        <w:widowControl w:val="0"/>
        <w:bidi/>
        <w:spacing w:before="240" w:line="259" w:lineRule="auto"/>
        <w:ind w:firstLine="289"/>
        <w:jc w:val="both"/>
        <w:rPr>
          <w:rFonts w:cs="2  Mitra"/>
          <w:spacing w:val="-2"/>
          <w:sz w:val="28"/>
          <w:szCs w:val="28"/>
          <w:rtl/>
          <w:lang w:bidi="fa-IR"/>
        </w:rPr>
      </w:pPr>
      <w:r>
        <w:rPr>
          <w:rFonts w:cs="2  Mitra" w:hint="cs"/>
          <w:spacing w:val="-2"/>
          <w:sz w:val="28"/>
          <w:szCs w:val="28"/>
          <w:rtl/>
          <w:lang w:bidi="fa-IR"/>
        </w:rPr>
        <w:t>به عبارت دیگر: هرچند بين وصف و موصوف در وجود خارج اتحاد عرفی برقرار است، اما عرف حيثيات متعددی برای موجود واحد مد نظر قرار می</w:t>
      </w:r>
      <w:r>
        <w:rPr>
          <w:rFonts w:cs="2  Mitra"/>
          <w:spacing w:val="-2"/>
          <w:sz w:val="28"/>
          <w:szCs w:val="28"/>
          <w:rtl/>
          <w:lang w:bidi="fa-IR"/>
        </w:rPr>
        <w:softHyphen/>
      </w:r>
      <w:r>
        <w:rPr>
          <w:rFonts w:cs="2  Mitra" w:hint="cs"/>
          <w:spacing w:val="-2"/>
          <w:sz w:val="28"/>
          <w:szCs w:val="28"/>
          <w:rtl/>
          <w:lang w:bidi="fa-IR"/>
        </w:rPr>
        <w:t>دهد و مثلاً «زيد» را از حيث اين که عالم است، متفاوت از «زيد» از حيثی می</w:t>
      </w:r>
      <w:r>
        <w:rPr>
          <w:rFonts w:cs="2  Mitra"/>
          <w:spacing w:val="-2"/>
          <w:sz w:val="28"/>
          <w:szCs w:val="28"/>
          <w:rtl/>
          <w:lang w:bidi="fa-IR"/>
        </w:rPr>
        <w:softHyphen/>
      </w:r>
      <w:r>
        <w:rPr>
          <w:rFonts w:cs="2  Mitra" w:hint="cs"/>
          <w:spacing w:val="-2"/>
          <w:sz w:val="28"/>
          <w:szCs w:val="28"/>
          <w:rtl/>
          <w:lang w:bidi="fa-IR"/>
        </w:rPr>
        <w:t>داند که عادل است.</w:t>
      </w:r>
    </w:p>
    <w:p w14:paraId="14FA2FE9" w14:textId="77777777" w:rsidR="002C4A0A" w:rsidRDefault="002C4A0A" w:rsidP="002C4A0A">
      <w:pPr>
        <w:widowControl w:val="0"/>
        <w:bidi/>
        <w:spacing w:before="240" w:line="259" w:lineRule="auto"/>
        <w:ind w:firstLine="289"/>
        <w:jc w:val="both"/>
        <w:rPr>
          <w:rFonts w:cs="2  Mitra"/>
          <w:spacing w:val="-2"/>
          <w:sz w:val="28"/>
          <w:szCs w:val="28"/>
          <w:rtl/>
          <w:lang w:bidi="fa-IR"/>
        </w:rPr>
      </w:pPr>
      <w:r>
        <w:rPr>
          <w:rFonts w:cs="2  Mitra" w:hint="cs"/>
          <w:spacing w:val="-2"/>
          <w:sz w:val="28"/>
          <w:szCs w:val="28"/>
          <w:rtl/>
          <w:lang w:bidi="fa-IR"/>
        </w:rPr>
        <w:t xml:space="preserve"> بلکه چنانچه اين مدعا صحيح باشد، در جايی که شک در تقيّد موضوع به وصفی خاص وجود داشته باشد، نمی</w:t>
      </w:r>
      <w:r>
        <w:rPr>
          <w:rFonts w:cs="2  Mitra"/>
          <w:spacing w:val="-2"/>
          <w:sz w:val="28"/>
          <w:szCs w:val="28"/>
          <w:rtl/>
          <w:lang w:bidi="fa-IR"/>
        </w:rPr>
        <w:softHyphen/>
      </w:r>
      <w:r>
        <w:rPr>
          <w:rFonts w:cs="2  Mitra" w:hint="cs"/>
          <w:spacing w:val="-2"/>
          <w:sz w:val="28"/>
          <w:szCs w:val="28"/>
          <w:rtl/>
          <w:lang w:bidi="fa-IR"/>
        </w:rPr>
        <w:t>توان با تمسّک به اطلاق مدخليت آن وصف را در موضوع منتفی دانست؛ مثلاً اگر مولا بگويد: «</w:t>
      </w:r>
      <w:r w:rsidRPr="00530710">
        <w:rPr>
          <w:rFonts w:cs="Abz-2 (Badr)" w:hint="cs"/>
          <w:spacing w:val="-2"/>
          <w:sz w:val="28"/>
          <w:szCs w:val="28"/>
          <w:rtl/>
          <w:lang w:bidi="fa-IR"/>
        </w:rPr>
        <w:t>أعتق رقبة</w:t>
      </w:r>
      <w:r>
        <w:rPr>
          <w:rFonts w:cs="2  Mitra" w:hint="cs"/>
          <w:spacing w:val="-2"/>
          <w:sz w:val="28"/>
          <w:szCs w:val="28"/>
          <w:rtl/>
          <w:lang w:bidi="fa-IR"/>
        </w:rPr>
        <w:t>» و شک شود که آيا رقبه مؤمنه مد نظر او بوده يا خير، بر فرض تماميت مدعای محقق عراقی نمی</w:t>
      </w:r>
      <w:r>
        <w:rPr>
          <w:rFonts w:cs="2  Mitra"/>
          <w:spacing w:val="-2"/>
          <w:sz w:val="28"/>
          <w:szCs w:val="28"/>
          <w:rtl/>
          <w:lang w:bidi="fa-IR"/>
        </w:rPr>
        <w:softHyphen/>
      </w:r>
      <w:r>
        <w:rPr>
          <w:rFonts w:cs="2  Mitra" w:hint="cs"/>
          <w:spacing w:val="-2"/>
          <w:sz w:val="28"/>
          <w:szCs w:val="28"/>
          <w:rtl/>
          <w:lang w:bidi="fa-IR"/>
        </w:rPr>
        <w:t>توان با اخذ به اطلاق دليل، نفی مدخليت ايمان در رقبه را نمود، زيرا بنابر فرمايش ايشان، در صورتی که وصف مدخليتی در موضوع داشته باشد، بين آن و موصوف اتحاد برقرار خواهد بود. در نتيجه اخذ به اطلاق موضوع از حيث اتّصاف آن به وصف ايمان به معنای اخذ به اطلاق خود موضوع خواهد بود که ممکن نيست، در حالی که عدم امکان التزام به اين معنا نيازمند استدلال نيست.</w:t>
      </w:r>
    </w:p>
    <w:p w14:paraId="5D0CAB33" w14:textId="77777777" w:rsidR="002C4A0A" w:rsidRDefault="002C4A0A" w:rsidP="002C4A0A">
      <w:pPr>
        <w:widowControl w:val="0"/>
        <w:bidi/>
        <w:spacing w:before="240" w:line="259" w:lineRule="auto"/>
        <w:ind w:firstLine="289"/>
        <w:jc w:val="both"/>
        <w:rPr>
          <w:rFonts w:cs="2  Mitra"/>
          <w:spacing w:val="-2"/>
          <w:sz w:val="28"/>
          <w:szCs w:val="28"/>
          <w:rtl/>
          <w:lang w:bidi="fa-IR"/>
        </w:rPr>
      </w:pPr>
      <w:r>
        <w:rPr>
          <w:rFonts w:cs="2  Mitra" w:hint="cs"/>
          <w:spacing w:val="-2"/>
          <w:sz w:val="28"/>
          <w:szCs w:val="28"/>
          <w:rtl/>
          <w:lang w:bidi="fa-IR"/>
        </w:rPr>
        <w:t xml:space="preserve"> بله، در مواردی که شک ايجاد می</w:t>
      </w:r>
      <w:r>
        <w:rPr>
          <w:rFonts w:cs="2  Mitra"/>
          <w:spacing w:val="-2"/>
          <w:sz w:val="28"/>
          <w:szCs w:val="28"/>
          <w:rtl/>
          <w:lang w:bidi="fa-IR"/>
        </w:rPr>
        <w:softHyphen/>
      </w:r>
      <w:r>
        <w:rPr>
          <w:rFonts w:cs="2  Mitra" w:hint="cs"/>
          <w:spacing w:val="-2"/>
          <w:sz w:val="28"/>
          <w:szCs w:val="28"/>
          <w:rtl/>
          <w:lang w:bidi="fa-IR"/>
        </w:rPr>
        <w:t>شود که وصف به عنوان قیدی احترازی در کلام ذکر شده یا به عنوان قیدی تأکيدی، اصل بر احترازی بودن آن است، اما اين مطلب ارتباطی به این ندارد که وصف دخیل در ذات موضوع بوده و حکم واحدی بر آنها مترتب شود.</w:t>
      </w:r>
    </w:p>
    <w:p w14:paraId="4A10AE26" w14:textId="77777777" w:rsidR="002C4A0A" w:rsidRDefault="002C4A0A" w:rsidP="002C4A0A">
      <w:pPr>
        <w:widowControl w:val="0"/>
        <w:bidi/>
        <w:spacing w:before="240" w:line="254" w:lineRule="auto"/>
        <w:ind w:firstLine="289"/>
        <w:jc w:val="both"/>
        <w:rPr>
          <w:rFonts w:cs="2  Mitra"/>
          <w:spacing w:val="-2"/>
          <w:sz w:val="28"/>
          <w:szCs w:val="28"/>
          <w:rtl/>
          <w:lang w:bidi="fa-IR"/>
        </w:rPr>
      </w:pPr>
      <w:r>
        <w:rPr>
          <w:rFonts w:cs="2  Mitra" w:hint="cs"/>
          <w:spacing w:val="-2"/>
          <w:sz w:val="28"/>
          <w:szCs w:val="28"/>
          <w:rtl/>
          <w:lang w:bidi="fa-IR"/>
        </w:rPr>
        <w:t>به عبارت دیگر: اصل احترازی بودن قیود، حداکثر ثابت می</w:t>
      </w:r>
      <w:r>
        <w:rPr>
          <w:rFonts w:cs="2  Mitra"/>
          <w:spacing w:val="-2"/>
          <w:sz w:val="28"/>
          <w:szCs w:val="28"/>
          <w:rtl/>
          <w:lang w:bidi="fa-IR"/>
        </w:rPr>
        <w:softHyphen/>
      </w:r>
      <w:r>
        <w:rPr>
          <w:rFonts w:cs="2  Mitra" w:hint="cs"/>
          <w:spacing w:val="-2"/>
          <w:sz w:val="28"/>
          <w:szCs w:val="28"/>
          <w:rtl/>
          <w:lang w:bidi="fa-IR"/>
        </w:rPr>
        <w:t>کند که تقيّد به قيد داخل در موضوع حکم است، اما اين که خود قید نيز داخلی باشد، با اين اصل قابل احراز نیست.</w:t>
      </w:r>
    </w:p>
    <w:p w14:paraId="7CF5D3D9" w14:textId="77777777" w:rsidR="002C4A0A" w:rsidRDefault="002C4A0A" w:rsidP="002C4A0A">
      <w:pPr>
        <w:widowControl w:val="0"/>
        <w:bidi/>
        <w:spacing w:before="240" w:line="254" w:lineRule="auto"/>
        <w:ind w:firstLine="289"/>
        <w:jc w:val="both"/>
        <w:rPr>
          <w:rFonts w:cs="2  Mitra"/>
          <w:spacing w:val="-2"/>
          <w:sz w:val="28"/>
          <w:szCs w:val="28"/>
          <w:rtl/>
          <w:lang w:bidi="fa-IR"/>
        </w:rPr>
      </w:pPr>
      <w:r>
        <w:rPr>
          <w:rFonts w:cs="2  Mitra" w:hint="cs"/>
          <w:spacing w:val="-2"/>
          <w:sz w:val="28"/>
          <w:szCs w:val="28"/>
          <w:rtl/>
          <w:lang w:bidi="fa-IR"/>
        </w:rPr>
        <w:lastRenderedPageBreak/>
        <w:t>گفته نشود: در اثبات مفهوم شرط، بدون تمسّک به اطلاق مقامی شرط يا اطلاق احوالی جمله شرطیه، امکان اثبات وجود چنین مفهومی وجود نداشت، پس چه فرقی بین تمسک به اطلاق در آن مقام با تمسک به اطلاقی که مرحوم محقق عراقی بیان کرده است وجود دارد؟</w:t>
      </w:r>
    </w:p>
    <w:p w14:paraId="7DCD292F" w14:textId="77777777" w:rsidR="002C4A0A" w:rsidRDefault="002C4A0A" w:rsidP="002C4A0A">
      <w:pPr>
        <w:widowControl w:val="0"/>
        <w:bidi/>
        <w:spacing w:before="240" w:line="254" w:lineRule="auto"/>
        <w:ind w:firstLine="289"/>
        <w:jc w:val="both"/>
        <w:rPr>
          <w:rFonts w:cs="2  Mitra"/>
          <w:spacing w:val="-2"/>
          <w:sz w:val="28"/>
          <w:szCs w:val="28"/>
          <w:rtl/>
          <w:lang w:bidi="fa-IR"/>
        </w:rPr>
      </w:pPr>
      <w:r>
        <w:rPr>
          <w:rFonts w:cs="2  Mitra" w:hint="cs"/>
          <w:spacing w:val="-2"/>
          <w:sz w:val="28"/>
          <w:szCs w:val="28"/>
          <w:rtl/>
          <w:lang w:bidi="fa-IR"/>
        </w:rPr>
        <w:t>زيرا پاسخ اين است که اخذ به اطلاق در مفهوم شرط برای اثبات انحصاری بودن عليّت آن برای ترتب حکم بر موضوع، بعد از اثبات وضعی بودن اصل عليّت شرط بود، در حالی که مرحوم محقق عراقی اصل عليّت هر قیدی برای ترتب حکم بر موضوع و نيز انحصاری بودن عليّت آن را مفروض می</w:t>
      </w:r>
      <w:r>
        <w:rPr>
          <w:rFonts w:cs="2  Mitra"/>
          <w:spacing w:val="-2"/>
          <w:sz w:val="28"/>
          <w:szCs w:val="28"/>
          <w:rtl/>
          <w:lang w:bidi="fa-IR"/>
        </w:rPr>
        <w:softHyphen/>
      </w:r>
      <w:r>
        <w:rPr>
          <w:rFonts w:cs="2  Mitra" w:hint="cs"/>
          <w:spacing w:val="-2"/>
          <w:sz w:val="28"/>
          <w:szCs w:val="28"/>
          <w:rtl/>
          <w:lang w:bidi="fa-IR"/>
        </w:rPr>
        <w:t>دانند و تمسّک به اطلاق را برای اين انجام می</w:t>
      </w:r>
      <w:r>
        <w:rPr>
          <w:rFonts w:cs="2  Mitra"/>
          <w:spacing w:val="-2"/>
          <w:sz w:val="28"/>
          <w:szCs w:val="28"/>
          <w:rtl/>
          <w:lang w:bidi="fa-IR"/>
        </w:rPr>
        <w:softHyphen/>
      </w:r>
      <w:r>
        <w:rPr>
          <w:rFonts w:cs="2  Mitra" w:hint="cs"/>
          <w:spacing w:val="-2"/>
          <w:sz w:val="28"/>
          <w:szCs w:val="28"/>
          <w:rtl/>
          <w:lang w:bidi="fa-IR"/>
        </w:rPr>
        <w:t>دهند که تعليق حکم بر قید، مقيد به حصه خاصی از حکم نشود و سنخ حکم به اين واسطه نفی گردد و سابقاً گفتیم که انتفاء سنخ حکم به واسطه انتفاء قید، معنای محصلی ندارد، مگر این که منظور از آن تعلیق حکم بر قید به نحو تعلیق معلول بر علّت منحصره آن باشد که در اين صورت ملاکی بجز همان عليّت منحصره داشتن قید برای حکم برای افاده مفهوم توسط آن وجود نخواهد داشت که با فرض تسليم به مدعای مرحوم محقق عراقی، اين ملاک نيز در تمامی قیود مذکور در کلام موجود است.</w:t>
      </w:r>
    </w:p>
    <w:p w14:paraId="42B1EBEE" w14:textId="77777777" w:rsidR="002C4A0A" w:rsidRDefault="002C4A0A" w:rsidP="002C4A0A">
      <w:pPr>
        <w:widowControl w:val="0"/>
        <w:bidi/>
        <w:spacing w:before="240" w:line="254" w:lineRule="auto"/>
        <w:ind w:firstLine="289"/>
        <w:jc w:val="both"/>
        <w:rPr>
          <w:rFonts w:ascii="Amiri" w:hAnsi="Amiri" w:cs="Amiri"/>
          <w:b/>
          <w:bCs/>
          <w:sz w:val="24"/>
          <w:szCs w:val="24"/>
          <w:rtl/>
          <w:lang w:bidi="fa-IR"/>
        </w:rPr>
      </w:pPr>
      <w:r w:rsidRPr="00517495">
        <w:rPr>
          <w:rFonts w:ascii="Amiri" w:hAnsi="Amiri" w:cs="Amiri" w:hint="cs"/>
          <w:b/>
          <w:bCs/>
          <w:sz w:val="24"/>
          <w:szCs w:val="24"/>
          <w:rtl/>
          <w:lang w:bidi="fa-IR"/>
        </w:rPr>
        <w:t xml:space="preserve">مقام </w:t>
      </w:r>
      <w:r>
        <w:rPr>
          <w:rFonts w:ascii="Amiri" w:hAnsi="Amiri" w:cs="Amiri" w:hint="cs"/>
          <w:b/>
          <w:bCs/>
          <w:sz w:val="24"/>
          <w:szCs w:val="24"/>
          <w:rtl/>
          <w:lang w:bidi="fa-IR"/>
        </w:rPr>
        <w:t>سوم</w:t>
      </w:r>
      <w:r w:rsidRPr="00517495">
        <w:rPr>
          <w:rFonts w:ascii="Amiri" w:hAnsi="Amiri" w:cs="Amiri" w:hint="cs"/>
          <w:b/>
          <w:bCs/>
          <w:sz w:val="24"/>
          <w:szCs w:val="24"/>
          <w:rtl/>
          <w:lang w:bidi="fa-IR"/>
        </w:rPr>
        <w:t xml:space="preserve">: </w:t>
      </w:r>
      <w:r>
        <w:rPr>
          <w:rFonts w:ascii="Amiri" w:hAnsi="Amiri" w:cs="Amiri" w:hint="cs"/>
          <w:b/>
          <w:bCs/>
          <w:sz w:val="24"/>
          <w:szCs w:val="24"/>
          <w:rtl/>
          <w:lang w:bidi="fa-IR"/>
        </w:rPr>
        <w:t>تفصيل در افاده</w:t>
      </w:r>
      <w:r w:rsidRPr="00517495">
        <w:rPr>
          <w:rFonts w:ascii="Amiri" w:hAnsi="Amiri" w:cs="Amiri" w:hint="cs"/>
          <w:b/>
          <w:bCs/>
          <w:sz w:val="24"/>
          <w:szCs w:val="24"/>
          <w:rtl/>
          <w:lang w:bidi="fa-IR"/>
        </w:rPr>
        <w:t xml:space="preserve"> مفهوم به واسطه وصف</w:t>
      </w:r>
    </w:p>
    <w:p w14:paraId="3EB4ED0B" w14:textId="77777777" w:rsidR="002C4A0A" w:rsidRDefault="002C4A0A" w:rsidP="002C4A0A">
      <w:pPr>
        <w:widowControl w:val="0"/>
        <w:bidi/>
        <w:spacing w:before="240" w:line="254" w:lineRule="auto"/>
        <w:ind w:firstLine="289"/>
        <w:jc w:val="both"/>
        <w:rPr>
          <w:rFonts w:cs="2  Mitra"/>
          <w:spacing w:val="-2"/>
          <w:sz w:val="28"/>
          <w:szCs w:val="28"/>
          <w:rtl/>
          <w:lang w:bidi="fa-IR"/>
        </w:rPr>
      </w:pPr>
      <w:r w:rsidRPr="006422A0">
        <w:rPr>
          <w:rFonts w:cs="2  Homa" w:hint="cs"/>
          <w:sz w:val="24"/>
          <w:szCs w:val="24"/>
          <w:rtl/>
          <w:lang w:bidi="fa-IR"/>
        </w:rPr>
        <w:t>تفصيل اول:</w:t>
      </w:r>
      <w:r>
        <w:rPr>
          <w:rFonts w:cs="Arial" w:hint="cs"/>
          <w:sz w:val="28"/>
          <w:szCs w:val="28"/>
          <w:rtl/>
          <w:lang w:bidi="fa-IR"/>
        </w:rPr>
        <w:t xml:space="preserve"> </w:t>
      </w:r>
      <w:r w:rsidRPr="006422A0">
        <w:rPr>
          <w:rFonts w:cs="2  Mitra" w:hint="cs"/>
          <w:spacing w:val="-2"/>
          <w:sz w:val="28"/>
          <w:szCs w:val="28"/>
          <w:rtl/>
          <w:lang w:bidi="fa-IR"/>
        </w:rPr>
        <w:t xml:space="preserve">مرحوم علامه </w:t>
      </w:r>
      <w:r>
        <w:rPr>
          <w:rFonts w:cs="2  Mitra" w:hint="cs"/>
          <w:spacing w:val="-2"/>
          <w:sz w:val="28"/>
          <w:szCs w:val="28"/>
          <w:rtl/>
          <w:lang w:bidi="fa-IR"/>
        </w:rPr>
        <w:t>در خصوص افاده مفهوم توسط وصف تفصيل داده و با این که وصف را به نحو مطلق مفید مفهوم نمی</w:t>
      </w:r>
      <w:r>
        <w:rPr>
          <w:rFonts w:cs="2  Mitra"/>
          <w:spacing w:val="-2"/>
          <w:sz w:val="28"/>
          <w:szCs w:val="28"/>
          <w:rtl/>
          <w:lang w:bidi="fa-IR"/>
        </w:rPr>
        <w:softHyphen/>
      </w:r>
      <w:r>
        <w:rPr>
          <w:rFonts w:cs="2  Mitra" w:hint="cs"/>
          <w:spacing w:val="-2"/>
          <w:sz w:val="28"/>
          <w:szCs w:val="28"/>
          <w:rtl/>
          <w:lang w:bidi="fa-IR"/>
        </w:rPr>
        <w:t>داند، اما در صورتی که وصف، علّيت برای حکم داشته باشد، افاده مفهوم توسط آن را می</w:t>
      </w:r>
      <w:r>
        <w:rPr>
          <w:rFonts w:cs="2  Mitra"/>
          <w:spacing w:val="-2"/>
          <w:sz w:val="28"/>
          <w:szCs w:val="28"/>
          <w:rtl/>
          <w:lang w:bidi="fa-IR"/>
        </w:rPr>
        <w:softHyphen/>
      </w:r>
      <w:r>
        <w:rPr>
          <w:rFonts w:cs="2  Mitra" w:hint="cs"/>
          <w:spacing w:val="-2"/>
          <w:sz w:val="28"/>
          <w:szCs w:val="28"/>
          <w:rtl/>
          <w:lang w:bidi="fa-IR"/>
        </w:rPr>
        <w:t>پذيرد و می</w:t>
      </w:r>
      <w:r>
        <w:rPr>
          <w:rFonts w:cs="2  Mitra"/>
          <w:spacing w:val="-2"/>
          <w:sz w:val="28"/>
          <w:szCs w:val="28"/>
          <w:rtl/>
          <w:lang w:bidi="fa-IR"/>
        </w:rPr>
        <w:softHyphen/>
      </w:r>
      <w:r>
        <w:rPr>
          <w:rFonts w:cs="2  Mitra" w:hint="cs"/>
          <w:spacing w:val="-2"/>
          <w:sz w:val="28"/>
          <w:szCs w:val="28"/>
          <w:rtl/>
          <w:lang w:bidi="fa-IR"/>
        </w:rPr>
        <w:t xml:space="preserve">فرماید: </w:t>
      </w:r>
      <w:r w:rsidRPr="00CF74B3">
        <w:rPr>
          <w:rFonts w:cs="2  Mitra" w:hint="cs"/>
          <w:color w:val="0070C0"/>
          <w:spacing w:val="-2"/>
          <w:sz w:val="28"/>
          <w:szCs w:val="28"/>
          <w:rtl/>
          <w:lang w:bidi="fa-IR"/>
        </w:rPr>
        <w:t>«</w:t>
      </w:r>
      <w:r w:rsidRPr="00CF74B3">
        <w:rPr>
          <w:rFonts w:cs="Abz-2 (Badr)" w:hint="cs"/>
          <w:color w:val="0070C0"/>
          <w:spacing w:val="-2"/>
          <w:sz w:val="28"/>
          <w:szCs w:val="28"/>
          <w:rtl/>
          <w:lang w:bidi="fa-IR"/>
        </w:rPr>
        <w:t>إن كان الوصف علّة، لزم من نفيه نفي الحكم تحقيقاً للعلّية.</w:t>
      </w:r>
      <w:r w:rsidRPr="00CF74B3">
        <w:rPr>
          <w:rFonts w:cs="2  Mitra" w:hint="cs"/>
          <w:color w:val="0070C0"/>
          <w:spacing w:val="-2"/>
          <w:sz w:val="28"/>
          <w:szCs w:val="28"/>
          <w:rtl/>
          <w:lang w:bidi="fa-IR"/>
        </w:rPr>
        <w:t>»</w:t>
      </w:r>
      <w:r w:rsidRPr="00D606E9">
        <w:rPr>
          <w:rStyle w:val="FootnoteReference"/>
          <w:rFonts w:cs="2  Mitra"/>
          <w:sz w:val="28"/>
          <w:szCs w:val="28"/>
          <w:rtl/>
          <w:lang w:bidi="fa-IR"/>
        </w:rPr>
        <w:footnoteReference w:id="2"/>
      </w:r>
    </w:p>
    <w:p w14:paraId="3DF681D5" w14:textId="77777777" w:rsidR="002C4A0A" w:rsidRDefault="002C4A0A" w:rsidP="002C4A0A">
      <w:pPr>
        <w:widowControl w:val="0"/>
        <w:bidi/>
        <w:spacing w:before="240" w:line="254" w:lineRule="auto"/>
        <w:ind w:firstLine="289"/>
        <w:jc w:val="both"/>
        <w:rPr>
          <w:rFonts w:cs="2  Mitra"/>
          <w:sz w:val="28"/>
          <w:szCs w:val="28"/>
          <w:rtl/>
          <w:lang w:bidi="fa-IR"/>
        </w:rPr>
      </w:pPr>
      <w:r>
        <w:rPr>
          <w:rFonts w:cs="2  Mitra" w:hint="cs"/>
          <w:spacing w:val="-2"/>
          <w:sz w:val="28"/>
          <w:szCs w:val="28"/>
          <w:rtl/>
          <w:lang w:bidi="fa-IR"/>
        </w:rPr>
        <w:t>مرحوم شيخ پاسخی به اين مدعا داده</w:t>
      </w:r>
      <w:r>
        <w:rPr>
          <w:rFonts w:cs="2  Mitra"/>
          <w:spacing w:val="-2"/>
          <w:sz w:val="28"/>
          <w:szCs w:val="28"/>
          <w:rtl/>
          <w:lang w:bidi="fa-IR"/>
        </w:rPr>
        <w:softHyphen/>
      </w:r>
      <w:r>
        <w:rPr>
          <w:rFonts w:cs="2  Mitra" w:hint="cs"/>
          <w:spacing w:val="-2"/>
          <w:sz w:val="28"/>
          <w:szCs w:val="28"/>
          <w:rtl/>
          <w:lang w:bidi="fa-IR"/>
        </w:rPr>
        <w:t>اند که جلسه آينده آن را بررسی می</w:t>
      </w:r>
      <w:r>
        <w:rPr>
          <w:rFonts w:cs="2  Mitra"/>
          <w:spacing w:val="-2"/>
          <w:sz w:val="28"/>
          <w:szCs w:val="28"/>
          <w:rtl/>
          <w:lang w:bidi="fa-IR"/>
        </w:rPr>
        <w:softHyphen/>
      </w:r>
      <w:r>
        <w:rPr>
          <w:rFonts w:cs="2  Mitra" w:hint="cs"/>
          <w:spacing w:val="-2"/>
          <w:sz w:val="28"/>
          <w:szCs w:val="28"/>
          <w:rtl/>
          <w:lang w:bidi="fa-IR"/>
        </w:rPr>
        <w:t>کنيم ان شاء الله.</w:t>
      </w:r>
    </w:p>
    <w:p w14:paraId="34DFA31E" w14:textId="77777777" w:rsidR="002C4A0A" w:rsidRPr="00EC335D" w:rsidRDefault="002C4A0A" w:rsidP="002C4A0A">
      <w:pPr>
        <w:widowControl w:val="0"/>
        <w:bidi/>
        <w:spacing w:before="240" w:line="257" w:lineRule="auto"/>
        <w:ind w:firstLine="289"/>
        <w:jc w:val="both"/>
        <w:rPr>
          <w:rFonts w:cs="2  Mitra"/>
          <w:spacing w:val="-4"/>
          <w:sz w:val="28"/>
          <w:szCs w:val="28"/>
          <w:rtl/>
          <w:lang w:bidi="fa-IR"/>
        </w:rPr>
      </w:pPr>
    </w:p>
    <w:p w14:paraId="7D9979DE" w14:textId="4586B5E2" w:rsidR="001B24FC" w:rsidRPr="002C4A0A" w:rsidRDefault="001B24FC" w:rsidP="002C4A0A">
      <w:pPr>
        <w:rPr>
          <w:rtl/>
        </w:rPr>
      </w:pPr>
    </w:p>
    <w:sectPr w:rsidR="001B24FC" w:rsidRPr="002C4A0A" w:rsidSect="008666ED">
      <w:headerReference w:type="default" r:id="rId7"/>
      <w:footerReference w:type="default" r:id="rId8"/>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A39408" w14:textId="77777777" w:rsidR="004362FB" w:rsidRDefault="004362FB" w:rsidP="00C336C5">
      <w:pPr>
        <w:spacing w:after="0" w:line="240" w:lineRule="auto"/>
      </w:pPr>
      <w:r>
        <w:separator/>
      </w:r>
    </w:p>
  </w:endnote>
  <w:endnote w:type="continuationSeparator" w:id="0">
    <w:p w14:paraId="1DEDD88B" w14:textId="77777777" w:rsidR="004362FB" w:rsidRDefault="004362FB" w:rsidP="00C336C5">
      <w:pPr>
        <w:spacing w:after="0" w:line="240" w:lineRule="auto"/>
      </w:pPr>
      <w:r>
        <w:continuationSeparator/>
      </w:r>
    </w:p>
  </w:endnote>
  <w:endnote w:type="continuationNotice" w:id="1">
    <w:p w14:paraId="310E0037" w14:textId="77777777" w:rsidR="004362FB" w:rsidRDefault="004362F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2  Homa">
    <w:panose1 w:val="00000400000000000000"/>
    <w:charset w:val="B2"/>
    <w:family w:val="auto"/>
    <w:pitch w:val="variable"/>
    <w:sig w:usb0="00002001" w:usb1="80000000" w:usb2="00000008"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290131" w14:textId="77777777" w:rsidR="004362FB" w:rsidRDefault="004362FB" w:rsidP="00C336C5">
      <w:pPr>
        <w:bidi/>
        <w:spacing w:after="0" w:line="240" w:lineRule="auto"/>
      </w:pPr>
      <w:r>
        <w:separator/>
      </w:r>
    </w:p>
  </w:footnote>
  <w:footnote w:type="continuationSeparator" w:id="0">
    <w:p w14:paraId="339F9594" w14:textId="77777777" w:rsidR="004362FB" w:rsidRDefault="004362FB" w:rsidP="00C336C5">
      <w:pPr>
        <w:spacing w:after="0" w:line="240" w:lineRule="auto"/>
      </w:pPr>
      <w:r>
        <w:continuationSeparator/>
      </w:r>
    </w:p>
  </w:footnote>
  <w:footnote w:type="continuationNotice" w:id="1">
    <w:p w14:paraId="2AF5D95B" w14:textId="77777777" w:rsidR="004362FB" w:rsidRDefault="004362FB">
      <w:pPr>
        <w:spacing w:after="0" w:line="240" w:lineRule="auto"/>
      </w:pPr>
    </w:p>
  </w:footnote>
  <w:footnote w:id="2">
    <w:p w14:paraId="02818E78" w14:textId="77777777" w:rsidR="002C4A0A" w:rsidRPr="00DE53E8" w:rsidRDefault="002C4A0A" w:rsidP="002C4A0A">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ـ تهذيب الوصول،ص</w:t>
      </w:r>
      <w:r>
        <w:rPr>
          <w:rFonts w:cs="Abz-2 (Badr)" w:hint="cs"/>
          <w:rtl/>
          <w:lang w:bidi="fa-IR"/>
        </w:rPr>
        <w:t>103.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57E4915D"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2C4A0A">
                            <w:rPr>
                              <w:rFonts w:cs="B Mehr" w:hint="cs"/>
                              <w:rtl/>
                              <w:lang w:bidi="fa-IR"/>
                            </w:rPr>
                            <w:t>دوشنبه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2C4A0A">
                            <w:rPr>
                              <w:rFonts w:cs="B Mehr" w:hint="cs"/>
                              <w:rtl/>
                              <w:lang w:bidi="fa-IR"/>
                            </w:rPr>
                            <w:t>01</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57E4915D"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2C4A0A">
                      <w:rPr>
                        <w:rFonts w:cs="B Mehr" w:hint="cs"/>
                        <w:rtl/>
                        <w:lang w:bidi="fa-IR"/>
                      </w:rPr>
                      <w:t>دوشنبه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2C4A0A">
                      <w:rPr>
                        <w:rFonts w:cs="B Mehr" w:hint="cs"/>
                        <w:rtl/>
                        <w:lang w:bidi="fa-IR"/>
                      </w:rPr>
                      <w:t>01</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4A0A"/>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362FB"/>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1F23"/>
    <w:rsid w:val="004D2107"/>
    <w:rsid w:val="004D4221"/>
    <w:rsid w:val="004D5471"/>
    <w:rsid w:val="004D708B"/>
    <w:rsid w:val="004D72B0"/>
    <w:rsid w:val="004D7CED"/>
    <w:rsid w:val="004D7DC2"/>
    <w:rsid w:val="004E02CB"/>
    <w:rsid w:val="004E105A"/>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439D"/>
    <w:rsid w:val="007C4585"/>
    <w:rsid w:val="007C7B38"/>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32F5"/>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5BEC"/>
    <w:rsid w:val="00A47494"/>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939"/>
    <w:rsid w:val="00AF1201"/>
    <w:rsid w:val="00AF1402"/>
    <w:rsid w:val="00AF1947"/>
    <w:rsid w:val="00AF196A"/>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4082</TotalTime>
  <Pages>1</Pages>
  <Words>436</Words>
  <Characters>2487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1135</cp:revision>
  <cp:lastPrinted>2025-04-15T09:36:00Z</cp:lastPrinted>
  <dcterms:created xsi:type="dcterms:W3CDTF">2022-10-16T08:36:00Z</dcterms:created>
  <dcterms:modified xsi:type="dcterms:W3CDTF">2025-04-21T08:20:00Z</dcterms:modified>
</cp:coreProperties>
</file>