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7EC638D3"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1D4966">
        <w:rPr>
          <w:rFonts w:cs="B Mitra" w:hint="cs"/>
          <w:b/>
          <w:bCs/>
          <w:sz w:val="32"/>
          <w:szCs w:val="32"/>
          <w:rtl/>
          <w:lang w:bidi="fa-IR"/>
        </w:rPr>
        <w:t>6</w:t>
      </w:r>
      <w:r w:rsidR="00D30256">
        <w:rPr>
          <w:rFonts w:cs="B Mitra" w:hint="cs"/>
          <w:b/>
          <w:bCs/>
          <w:sz w:val="32"/>
          <w:szCs w:val="32"/>
          <w:rtl/>
          <w:lang w:bidi="fa-IR"/>
        </w:rPr>
        <w:t>9</w:t>
      </w:r>
    </w:p>
    <w:bookmarkEnd w:id="0"/>
    <w:p w14:paraId="5CABD5FD" w14:textId="77777777" w:rsidR="00536A55" w:rsidRDefault="00536A55" w:rsidP="00536A55">
      <w:pPr>
        <w:widowControl w:val="0"/>
        <w:bidi/>
        <w:spacing w:before="240" w:line="259" w:lineRule="auto"/>
        <w:ind w:firstLine="289"/>
        <w:jc w:val="both"/>
        <w:rPr>
          <w:rFonts w:cs="2  Mitra"/>
          <w:sz w:val="28"/>
          <w:szCs w:val="28"/>
          <w:rtl/>
          <w:lang w:bidi="fa-IR"/>
        </w:rPr>
      </w:pPr>
    </w:p>
    <w:p w14:paraId="4440A6E7" w14:textId="59D233F9" w:rsidR="00D30256" w:rsidRDefault="00D30256" w:rsidP="00D30256">
      <w:pPr>
        <w:widowControl w:val="0"/>
        <w:bidi/>
        <w:spacing w:before="240" w:line="252" w:lineRule="auto"/>
        <w:ind w:firstLine="289"/>
        <w:jc w:val="both"/>
        <w:rPr>
          <w:rFonts w:cs="2  Mitra"/>
          <w:sz w:val="28"/>
          <w:szCs w:val="28"/>
          <w:rtl/>
          <w:lang w:bidi="fa-IR"/>
        </w:rPr>
      </w:pPr>
      <w:r>
        <w:rPr>
          <w:rFonts w:cs="2  Mitra" w:hint="cs"/>
          <w:sz w:val="28"/>
          <w:szCs w:val="28"/>
          <w:rtl/>
          <w:lang w:bidi="fa-IR"/>
        </w:rPr>
        <w:t>مدعای مرحوم ميرزای نایینی در خصوص نحوه تمسّک به اطلاق احوالی ادات شرط برای انحصاری بودن عليّت شرط برای جزاء جلسه قبل مطرح شد.</w:t>
      </w:r>
    </w:p>
    <w:p w14:paraId="58296420" w14:textId="72E16213" w:rsidR="00D30256" w:rsidRDefault="00D30256" w:rsidP="00D30256">
      <w:pPr>
        <w:widowControl w:val="0"/>
        <w:bidi/>
        <w:spacing w:before="240" w:line="252" w:lineRule="auto"/>
        <w:ind w:firstLine="289"/>
        <w:jc w:val="both"/>
        <w:rPr>
          <w:rFonts w:cs="2  Mitra"/>
          <w:sz w:val="28"/>
          <w:szCs w:val="28"/>
          <w:rtl/>
          <w:lang w:bidi="fa-IR"/>
        </w:rPr>
      </w:pPr>
      <w:r>
        <w:rPr>
          <w:rFonts w:cs="2  Mitra" w:hint="cs"/>
          <w:sz w:val="28"/>
          <w:szCs w:val="28"/>
          <w:rtl/>
          <w:lang w:bidi="fa-IR"/>
        </w:rPr>
        <w:t>اشکالی که به فرمايش ايشان ـ بنابر مبنایی که اتخاذ کرده‎اند ـ وارد است اين است که چون ايشان ترتب جزاء بر شرط را وضعی ندانسته و آن را مستفاد از متفاهم عرفی از سياق جمله شرطیه می‎دانند، تمسّک به اطلاق بنابر اين مبنا وجهی نخواهد داشت، چون اخذ به اطلاق مربوط به ادله لفظی است نه ادله لبی.</w:t>
      </w:r>
    </w:p>
    <w:p w14:paraId="46F30B12" w14:textId="77777777" w:rsidR="00D30256" w:rsidRDefault="00D30256" w:rsidP="00D30256">
      <w:pPr>
        <w:widowControl w:val="0"/>
        <w:bidi/>
        <w:spacing w:before="240" w:line="252" w:lineRule="auto"/>
        <w:ind w:firstLine="289"/>
        <w:jc w:val="both"/>
        <w:rPr>
          <w:rFonts w:cs="2  Mitra"/>
          <w:sz w:val="28"/>
          <w:szCs w:val="28"/>
          <w:rtl/>
          <w:lang w:bidi="fa-IR"/>
        </w:rPr>
      </w:pPr>
      <w:r>
        <w:rPr>
          <w:rFonts w:cs="2  Mitra" w:hint="cs"/>
          <w:sz w:val="28"/>
          <w:szCs w:val="28"/>
          <w:rtl/>
          <w:lang w:bidi="fa-IR"/>
        </w:rPr>
        <w:t>اما بر اساس آنچه که از ما گذشت مبنی بر اين که ترتب جزاء بر شرط، وضعی بوده و مدلول ادوات شرط است، اين اطلاق دارای وجه بوده و قابلیت اخذ خواهد داشت، و فرق آن با اطلاقی که مرحوم آخوند بيان کرده و به آن اشکال گرفته‎اند، در اين خواهد بود که آنچه که مرحوم آخوند به آن ايراد گرفته‎اند، اطلاق شرط است، در حالی که اين اطلاق، اطلاق ادوات شرط می‎باشد و اشکال مرحوم آخوند به آن وارد نيست.</w:t>
      </w:r>
    </w:p>
    <w:p w14:paraId="74FC9D82" w14:textId="77777777" w:rsidR="00D30256" w:rsidRDefault="00D30256" w:rsidP="00D30256">
      <w:pPr>
        <w:widowControl w:val="0"/>
        <w:bidi/>
        <w:spacing w:before="240" w:line="252" w:lineRule="auto"/>
        <w:ind w:firstLine="289"/>
        <w:jc w:val="both"/>
        <w:rPr>
          <w:rFonts w:cs="2  Mitra"/>
          <w:sz w:val="28"/>
          <w:szCs w:val="28"/>
          <w:rtl/>
          <w:lang w:bidi="fa-IR"/>
        </w:rPr>
      </w:pPr>
      <w:r>
        <w:rPr>
          <w:rFonts w:cs="2  Mitra" w:hint="cs"/>
          <w:sz w:val="28"/>
          <w:szCs w:val="28"/>
          <w:rtl/>
          <w:lang w:bidi="fa-IR"/>
        </w:rPr>
        <w:t>به عبارت ديگر اگر مدعا اين باشد که شرطی که دارای عليت غير منحصره است با شرطی که دارای عليت منحصره است، متفاوت است و بيان شرطی که عليت آن غير منحصره است، نيازمند مؤونه زائده است، در اين صورت اشکال مرحوم آخوند اشکال واردی خواهد بود.</w:t>
      </w:r>
    </w:p>
    <w:p w14:paraId="1A337A9E" w14:textId="77777777" w:rsidR="00D30256" w:rsidRPr="006B76EA" w:rsidRDefault="00D30256" w:rsidP="00D30256">
      <w:pPr>
        <w:widowControl w:val="0"/>
        <w:bidi/>
        <w:spacing w:before="240" w:line="259" w:lineRule="auto"/>
        <w:ind w:firstLine="289"/>
        <w:jc w:val="both"/>
        <w:rPr>
          <w:rFonts w:cs="2  Mitra"/>
          <w:spacing w:val="-4"/>
          <w:sz w:val="28"/>
          <w:szCs w:val="28"/>
          <w:rtl/>
          <w:lang w:bidi="fa-IR"/>
        </w:rPr>
      </w:pPr>
      <w:r w:rsidRPr="006B76EA">
        <w:rPr>
          <w:rFonts w:cs="2  Mitra" w:hint="cs"/>
          <w:spacing w:val="-4"/>
          <w:sz w:val="28"/>
          <w:szCs w:val="28"/>
          <w:rtl/>
          <w:lang w:bidi="fa-IR"/>
        </w:rPr>
        <w:t xml:space="preserve">اما چنانچه ادعا شود که ادوات شرط که بيانگر عليت مقدم برای تالی هستند، از حيث احوالی دارای اطلاقی هستند که با تمسک به آن می‎توان اثبات نمود که عليت مقدم برای تالی با وجود امور ديگری که احتمال جايگزينی آنها برای مقدم وجود دارد نيز باقی است، اشکالی به اين تقريب وارد نشده و می‎توان با تمسّک به آن انحصاری بودن علّيّت مقدّم برای تالی را اثبات نمود. </w:t>
      </w:r>
    </w:p>
    <w:p w14:paraId="43F3B293" w14:textId="77777777" w:rsidR="00D30256" w:rsidRPr="00195F9C" w:rsidRDefault="00D30256" w:rsidP="00D30256">
      <w:pPr>
        <w:widowControl w:val="0"/>
        <w:bidi/>
        <w:spacing w:before="240" w:line="264" w:lineRule="auto"/>
        <w:ind w:firstLine="289"/>
        <w:jc w:val="both"/>
        <w:rPr>
          <w:rFonts w:cs="2  Mitra"/>
          <w:spacing w:val="-4"/>
          <w:sz w:val="28"/>
          <w:szCs w:val="28"/>
          <w:rtl/>
          <w:lang w:bidi="fa-IR"/>
        </w:rPr>
      </w:pPr>
      <w:r w:rsidRPr="00195F9C">
        <w:rPr>
          <w:rFonts w:cs="2  Mitra" w:hint="cs"/>
          <w:spacing w:val="-4"/>
          <w:sz w:val="28"/>
          <w:szCs w:val="28"/>
          <w:rtl/>
          <w:lang w:bidi="fa-IR"/>
        </w:rPr>
        <w:t xml:space="preserve">البته همان گونه که سابقاً گذشت، تمسک به اين اطلاق در جايی امکان‎پذير است که مفاد قضیه شرطیه مربوط به مقام ثبوت </w:t>
      </w:r>
      <w:r w:rsidRPr="00195F9C">
        <w:rPr>
          <w:rFonts w:cs="2  Mitra" w:hint="cs"/>
          <w:spacing w:val="-4"/>
          <w:sz w:val="28"/>
          <w:szCs w:val="28"/>
          <w:rtl/>
          <w:lang w:bidi="fa-IR"/>
        </w:rPr>
        <w:lastRenderedPageBreak/>
        <w:t>باشد نه اثبات، چون در صورت دوم احراز اين که متکلم در مقام بيان ترتّب جزاء بر شرط در جميع احوال است، ممکن نيست.</w:t>
      </w:r>
    </w:p>
    <w:p w14:paraId="77168D90" w14:textId="77777777" w:rsidR="00D30256" w:rsidRDefault="00D30256" w:rsidP="00D30256">
      <w:pPr>
        <w:widowControl w:val="0"/>
        <w:bidi/>
        <w:spacing w:before="240" w:line="264" w:lineRule="auto"/>
        <w:ind w:firstLine="289"/>
        <w:jc w:val="both"/>
        <w:rPr>
          <w:rFonts w:cs="2  Mitra"/>
          <w:spacing w:val="-2"/>
          <w:sz w:val="28"/>
          <w:szCs w:val="28"/>
          <w:rtl/>
          <w:lang w:bidi="fa-IR"/>
        </w:rPr>
      </w:pPr>
      <w:r>
        <w:rPr>
          <w:rFonts w:cs="2  Mitra" w:hint="cs"/>
          <w:sz w:val="28"/>
          <w:szCs w:val="28"/>
          <w:rtl/>
          <w:lang w:bidi="fa-IR"/>
        </w:rPr>
        <w:t xml:space="preserve">اما آنچه که در کلمات مرحوم ميرزای نايينی گذشت مبنی بر اين که در </w:t>
      </w:r>
      <w:r w:rsidRPr="00C802F3">
        <w:rPr>
          <w:rFonts w:cs="2  Mitra" w:hint="cs"/>
          <w:spacing w:val="-2"/>
          <w:sz w:val="28"/>
          <w:szCs w:val="28"/>
          <w:rtl/>
          <w:lang w:bidi="fa-IR"/>
        </w:rPr>
        <w:t>قضایایی که برای بیان تحقق حکم به تحقق موضوع آن ایراد شده‎اند</w:t>
      </w:r>
      <w:r>
        <w:rPr>
          <w:rFonts w:cs="2  Mitra" w:hint="cs"/>
          <w:spacing w:val="-2"/>
          <w:sz w:val="28"/>
          <w:szCs w:val="28"/>
          <w:rtl/>
          <w:lang w:bidi="fa-IR"/>
        </w:rPr>
        <w:t xml:space="preserve">، از آنجا که </w:t>
      </w:r>
      <w:r w:rsidRPr="00C802F3">
        <w:rPr>
          <w:rFonts w:cs="2  Mitra" w:hint="cs"/>
          <w:spacing w:val="-2"/>
          <w:sz w:val="28"/>
          <w:szCs w:val="28"/>
          <w:rtl/>
          <w:lang w:bidi="fa-IR"/>
        </w:rPr>
        <w:t>ترتب جزاء بر شرط و تقييدش به آن قهری است</w:t>
      </w:r>
      <w:r>
        <w:rPr>
          <w:rFonts w:cs="2  Mitra" w:hint="cs"/>
          <w:spacing w:val="-2"/>
          <w:sz w:val="28"/>
          <w:szCs w:val="28"/>
          <w:rtl/>
          <w:lang w:bidi="fa-IR"/>
        </w:rPr>
        <w:t>،</w:t>
      </w:r>
      <w:r w:rsidRPr="00C802F3">
        <w:rPr>
          <w:rFonts w:cs="2  Mitra" w:hint="cs"/>
          <w:spacing w:val="-2"/>
          <w:sz w:val="28"/>
          <w:szCs w:val="28"/>
          <w:rtl/>
          <w:lang w:bidi="fa-IR"/>
        </w:rPr>
        <w:t xml:space="preserve"> قضیه فاقد مفهوم است</w:t>
      </w:r>
      <w:r>
        <w:rPr>
          <w:rFonts w:cs="2  Mitra" w:hint="cs"/>
          <w:spacing w:val="-2"/>
          <w:sz w:val="28"/>
          <w:szCs w:val="28"/>
          <w:rtl/>
          <w:lang w:bidi="fa-IR"/>
        </w:rPr>
        <w:t>، مدعای صحيحی نيست، زيرا قهری بودن ترتب جزاء بر شرط منافاتی با افاده مفهوم توسط قضیه شرطیه ندارد، فلذا قضایای شرطیه‎ای که بيانگر امور تکوينی هستند نيز دارای مفهوم می‎باشند، هرچند شرطيت مقدّم برای تالی در آنها قهری و تکوينی است.</w:t>
      </w:r>
    </w:p>
    <w:p w14:paraId="3741B730" w14:textId="77777777" w:rsidR="00D30256" w:rsidRDefault="00D30256" w:rsidP="00D30256">
      <w:pPr>
        <w:widowControl w:val="0"/>
        <w:bidi/>
        <w:spacing w:before="240" w:line="264" w:lineRule="auto"/>
        <w:ind w:firstLine="289"/>
        <w:jc w:val="both"/>
        <w:rPr>
          <w:rFonts w:cs="2  Mitra"/>
          <w:sz w:val="28"/>
          <w:szCs w:val="28"/>
          <w:rtl/>
          <w:lang w:bidi="fa-IR"/>
        </w:rPr>
      </w:pPr>
      <w:r>
        <w:rPr>
          <w:rFonts w:cs="2  Mitra" w:hint="cs"/>
          <w:spacing w:val="-2"/>
          <w:sz w:val="28"/>
          <w:szCs w:val="28"/>
          <w:rtl/>
          <w:lang w:bidi="fa-IR"/>
        </w:rPr>
        <w:t>بلکه در توجيه عدم افاده مفهوم توسط اين قضایا باید گفت: همان گونه که در ابتدای بحث و در تعريف مفهوم گذشت، مفهوم معنایی است که به واسطه تغيير حيثيات تقييديه قضيه با وجود بقاء ذات موضوع آن توسط قضیه افاده می‎گردد، و چون در قضایای شرطیه‎ای که مقدم در آنها ذات موضوع است، با انتفاء مقدم، ذات موضوع ثابت باقی نمی‎ماند، در نتيجه اين قضایا نمی‎توانند افاده مفهوم نمايند.</w:t>
      </w:r>
    </w:p>
    <w:p w14:paraId="6F1D793D" w14:textId="77777777" w:rsidR="00D30256" w:rsidRPr="006A4ED4" w:rsidRDefault="00D30256" w:rsidP="00D30256">
      <w:pPr>
        <w:widowControl w:val="0"/>
        <w:bidi/>
        <w:spacing w:before="240" w:line="264" w:lineRule="auto"/>
        <w:ind w:firstLine="289"/>
        <w:jc w:val="both"/>
        <w:rPr>
          <w:rFonts w:cs="Abz-2 (Badr)"/>
          <w:sz w:val="28"/>
          <w:szCs w:val="28"/>
          <w:lang w:bidi="fa-IR"/>
        </w:rPr>
      </w:pPr>
      <w:r>
        <w:rPr>
          <w:rFonts w:cs="2  Mitra" w:hint="cs"/>
          <w:sz w:val="28"/>
          <w:szCs w:val="28"/>
          <w:rtl/>
          <w:lang w:bidi="fa-IR"/>
        </w:rPr>
        <w:t>اما مرحوم محقق اصفهانی با اشکال در مدعای مرحوم ميرزای نایینی می‎فرماید: «</w:t>
      </w:r>
      <w:r>
        <w:rPr>
          <w:rFonts w:cs="Abz-2 (Badr)" w:hint="cs"/>
          <w:sz w:val="28"/>
          <w:szCs w:val="28"/>
          <w:rtl/>
          <w:lang w:bidi="fa-IR"/>
        </w:rPr>
        <w:t>إ</w:t>
      </w:r>
      <w:r w:rsidRPr="006A4ED4">
        <w:rPr>
          <w:rFonts w:cs="Abz-2 (Badr)" w:hint="cs"/>
          <w:sz w:val="28"/>
          <w:szCs w:val="28"/>
          <w:rtl/>
          <w:lang w:bidi="fa-IR"/>
        </w:rPr>
        <w:t>ن</w:t>
      </w:r>
      <w:r>
        <w:rPr>
          <w:rFonts w:cs="Abz-2 (Badr)" w:hint="cs"/>
          <w:sz w:val="28"/>
          <w:szCs w:val="28"/>
          <w:rtl/>
          <w:lang w:bidi="fa-IR"/>
        </w:rPr>
        <w:t>ّ</w:t>
      </w:r>
      <w:r w:rsidRPr="006A4ED4">
        <w:rPr>
          <w:rFonts w:cs="Abz-2 (Badr)" w:hint="cs"/>
          <w:sz w:val="28"/>
          <w:szCs w:val="28"/>
          <w:rtl/>
          <w:lang w:bidi="fa-IR"/>
        </w:rPr>
        <w:t xml:space="preserve"> الإطلاق لا يكون إلا مع انحفاظ ذات المطلق، فالإطلاق من حيث الضميمة معقول، وأمّا الإطلاق من حيث البدل فلا</w:t>
      </w:r>
      <w:r>
        <w:rPr>
          <w:rFonts w:cs="Abz-2 (Badr)" w:hint="cs"/>
          <w:sz w:val="28"/>
          <w:szCs w:val="28"/>
          <w:rtl/>
          <w:lang w:bidi="fa-IR"/>
        </w:rPr>
        <w:t>،</w:t>
      </w:r>
      <w:r w:rsidRPr="006A4ED4">
        <w:rPr>
          <w:rFonts w:cs="Abz-2 (Badr)" w:hint="cs"/>
          <w:sz w:val="28"/>
          <w:szCs w:val="28"/>
          <w:rtl/>
          <w:lang w:bidi="fa-IR"/>
        </w:rPr>
        <w:t xml:space="preserve"> إذ لا يكون بدله إ</w:t>
      </w:r>
      <w:r>
        <w:rPr>
          <w:rFonts w:cs="Abz-2 (Badr)" w:hint="cs"/>
          <w:sz w:val="28"/>
          <w:szCs w:val="28"/>
          <w:rtl/>
          <w:lang w:bidi="fa-IR"/>
        </w:rPr>
        <w:t>ل</w:t>
      </w:r>
      <w:r w:rsidRPr="006A4ED4">
        <w:rPr>
          <w:rFonts w:cs="Abz-2 (Badr)" w:hint="cs"/>
          <w:sz w:val="28"/>
          <w:szCs w:val="28"/>
          <w:rtl/>
          <w:lang w:bidi="fa-IR"/>
        </w:rPr>
        <w:t>ا في ظرف عدمه، فلا يعقل إطلاق القيد في ظرف عدم نفسه، وقياسه بالواجب التعييني والتخييري مع الفارق، فإنّ الإطلاق المعيّن للوجوب التعييني ليس في الواجب من حيث كونه ذا بدل، بل الإطلاق في الوجوب من حيث عدم كونه مشوبا</w:t>
      </w:r>
      <w:r>
        <w:rPr>
          <w:rFonts w:cs="Abz-2 (Badr)" w:hint="cs"/>
          <w:sz w:val="28"/>
          <w:szCs w:val="28"/>
          <w:rtl/>
          <w:lang w:bidi="fa-IR"/>
        </w:rPr>
        <w:t>ً</w:t>
      </w:r>
      <w:r w:rsidRPr="006A4ED4">
        <w:rPr>
          <w:rFonts w:cs="Abz-2 (Badr)" w:hint="cs"/>
          <w:sz w:val="28"/>
          <w:szCs w:val="28"/>
          <w:rtl/>
          <w:lang w:bidi="fa-IR"/>
        </w:rPr>
        <w:t xml:space="preserve"> بجواز الترك إلى البدل</w:t>
      </w:r>
      <w:r>
        <w:rPr>
          <w:rFonts w:cs="Abz-2 (Badr)" w:hint="cs"/>
          <w:sz w:val="28"/>
          <w:szCs w:val="28"/>
          <w:rtl/>
          <w:lang w:bidi="fa-IR"/>
        </w:rPr>
        <w:t>.</w:t>
      </w:r>
      <w:r w:rsidRPr="006A4ED4">
        <w:rPr>
          <w:rFonts w:cs="2  Mitra" w:hint="cs"/>
          <w:sz w:val="28"/>
          <w:szCs w:val="28"/>
          <w:rtl/>
          <w:lang w:bidi="fa-IR"/>
        </w:rPr>
        <w:t>»</w:t>
      </w:r>
      <w:r w:rsidRPr="006A4ED4">
        <w:rPr>
          <w:rFonts w:cs="Abz-2 (Badr)" w:hint="cs"/>
          <w:sz w:val="28"/>
          <w:szCs w:val="28"/>
          <w:rtl/>
          <w:lang w:bidi="fa-IR"/>
        </w:rPr>
        <w:t>‏</w:t>
      </w:r>
      <w:r w:rsidRPr="00555B56">
        <w:rPr>
          <w:rStyle w:val="FootnoteReference"/>
          <w:rFonts w:cs="2  Mitra"/>
          <w:sz w:val="28"/>
          <w:szCs w:val="28"/>
          <w:rtl/>
        </w:rPr>
        <w:footnoteReference w:id="2"/>
      </w:r>
    </w:p>
    <w:p w14:paraId="0013AEC3" w14:textId="5E11FB45" w:rsidR="00D30256" w:rsidRPr="00A20334" w:rsidRDefault="00D30256" w:rsidP="00962507">
      <w:pPr>
        <w:widowControl w:val="0"/>
        <w:bidi/>
        <w:spacing w:before="240" w:line="264" w:lineRule="auto"/>
        <w:ind w:firstLine="289"/>
        <w:jc w:val="both"/>
        <w:rPr>
          <w:rFonts w:cs="2  Mitra"/>
          <w:spacing w:val="-4"/>
          <w:sz w:val="28"/>
          <w:szCs w:val="28"/>
          <w:rtl/>
          <w:lang w:bidi="fa-IR"/>
        </w:rPr>
      </w:pPr>
      <w:r>
        <w:rPr>
          <w:rFonts w:cs="2  Mitra" w:hint="cs"/>
          <w:sz w:val="28"/>
          <w:szCs w:val="28"/>
          <w:rtl/>
          <w:lang w:bidi="fa-IR"/>
        </w:rPr>
        <w:t>ولی پاسخ به اين اشکال اين است که همان گونه که در موارد شک در وجوب تعيينی و تخييری، اخذ به اطلاق واجب نشده و بلکه اخذ به اطلاق وجوب می‎شود، در ما نحن فيه نيز آنچه که به اطلاق آن اخذ می‎شود شرط نيست، بلکه عليّت شرط برای جزا و نفی خلل در آن به واسطه شرطیت چيز ديگری برای جزاست.</w:t>
      </w:r>
    </w:p>
    <w:p w14:paraId="0CEB4426" w14:textId="66865311" w:rsidR="007500E5" w:rsidRDefault="007500E5" w:rsidP="00D30256">
      <w:pPr>
        <w:widowControl w:val="0"/>
        <w:bidi/>
        <w:spacing w:before="240" w:line="257" w:lineRule="auto"/>
        <w:ind w:firstLine="289"/>
        <w:jc w:val="both"/>
        <w:rPr>
          <w:rFonts w:cs="2  Mitra"/>
          <w:sz w:val="28"/>
          <w:szCs w:val="28"/>
          <w:rtl/>
          <w:lang w:bidi="fa-IR"/>
        </w:rPr>
      </w:pPr>
    </w:p>
    <w:sectPr w:rsidR="007500E5" w:rsidSect="00BD090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78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9278C" w14:textId="77777777" w:rsidR="002E4592" w:rsidRDefault="002E4592" w:rsidP="00C336C5">
      <w:pPr>
        <w:spacing w:after="0" w:line="240" w:lineRule="auto"/>
      </w:pPr>
      <w:r>
        <w:separator/>
      </w:r>
    </w:p>
  </w:endnote>
  <w:endnote w:type="continuationSeparator" w:id="0">
    <w:p w14:paraId="374DBAB6" w14:textId="77777777" w:rsidR="002E4592" w:rsidRDefault="002E4592" w:rsidP="00C336C5">
      <w:pPr>
        <w:spacing w:after="0" w:line="240" w:lineRule="auto"/>
      </w:pPr>
      <w:r>
        <w:continuationSeparator/>
      </w:r>
    </w:p>
  </w:endnote>
  <w:endnote w:type="continuationNotice" w:id="1">
    <w:p w14:paraId="0075E42A" w14:textId="77777777" w:rsidR="002E4592" w:rsidRDefault="002E45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EA47" w14:textId="77777777" w:rsidR="00BD090E" w:rsidRDefault="00BD0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DADB" w14:textId="77777777" w:rsidR="00BD090E" w:rsidRDefault="00BD0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0807" w14:textId="77777777" w:rsidR="002E4592" w:rsidRDefault="002E4592" w:rsidP="00C336C5">
      <w:pPr>
        <w:bidi/>
        <w:spacing w:after="0" w:line="240" w:lineRule="auto"/>
      </w:pPr>
      <w:r>
        <w:separator/>
      </w:r>
    </w:p>
  </w:footnote>
  <w:footnote w:type="continuationSeparator" w:id="0">
    <w:p w14:paraId="607A48AD" w14:textId="77777777" w:rsidR="002E4592" w:rsidRDefault="002E4592" w:rsidP="00C336C5">
      <w:pPr>
        <w:spacing w:after="0" w:line="240" w:lineRule="auto"/>
      </w:pPr>
      <w:r>
        <w:continuationSeparator/>
      </w:r>
    </w:p>
  </w:footnote>
  <w:footnote w:type="continuationNotice" w:id="1">
    <w:p w14:paraId="78EE260E" w14:textId="77777777" w:rsidR="002E4592" w:rsidRDefault="002E4592">
      <w:pPr>
        <w:spacing w:after="0" w:line="240" w:lineRule="auto"/>
      </w:pPr>
    </w:p>
  </w:footnote>
  <w:footnote w:id="2">
    <w:p w14:paraId="0E240E17" w14:textId="77777777" w:rsidR="00D30256" w:rsidRPr="00277C3D" w:rsidRDefault="00D30256" w:rsidP="00D30256">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نهاية الدراية</w:t>
      </w:r>
      <w:r>
        <w:rPr>
          <w:rFonts w:ascii="Cambria" w:hAnsi="Cambria" w:cs="Abz-2 (Badr)" w:hint="cs"/>
          <w:rtl/>
          <w:lang w:bidi="fa-IR"/>
        </w:rPr>
        <w:t>،ج2،ص417، الحاشية</w:t>
      </w:r>
      <w:r w:rsidRPr="00277C3D">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E291" w14:textId="77777777" w:rsidR="00BD090E" w:rsidRDefault="00BD0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2187" w14:textId="43959E3C" w:rsidR="00BD090E" w:rsidRDefault="00BD090E">
    <w:pPr>
      <w:pStyle w:val="Header"/>
    </w:pPr>
    <w:r>
      <w:rPr>
        <w:noProof/>
      </w:rPr>
      <mc:AlternateContent>
        <mc:Choice Requires="wps">
          <w:drawing>
            <wp:anchor distT="45720" distB="45720" distL="114300" distR="114300" simplePos="0" relativeHeight="251661312" behindDoc="0" locked="0" layoutInCell="1" allowOverlap="1" wp14:anchorId="5DE44CEB" wp14:editId="01F76ED6">
              <wp:simplePos x="0" y="0"/>
              <wp:positionH relativeFrom="column">
                <wp:posOffset>1743710</wp:posOffset>
              </wp:positionH>
              <wp:positionV relativeFrom="paragraph">
                <wp:posOffset>190500</wp:posOffset>
              </wp:positionV>
              <wp:extent cx="3867150" cy="1463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63040"/>
                      </a:xfrm>
                      <a:prstGeom prst="rect">
                        <a:avLst/>
                      </a:prstGeom>
                      <a:solidFill>
                        <a:srgbClr val="FFFFFF"/>
                      </a:solidFill>
                      <a:ln w="9525">
                        <a:noFill/>
                        <a:miter lim="800000"/>
                        <a:headEnd/>
                        <a:tailEnd/>
                      </a:ln>
                    </wps:spPr>
                    <wps:txbx>
                      <w:txbxContent>
                        <w:p w14:paraId="38CDFA73" w14:textId="049CFDCB" w:rsidR="00BD090E" w:rsidRDefault="00BD090E" w:rsidP="00BD090E">
                          <w:pPr>
                            <w:bidi/>
                            <w:rPr>
                              <w:rFonts w:cs="B Mehr"/>
                            </w:rPr>
                          </w:pPr>
                          <w:r>
                            <w:rPr>
                              <w:rFonts w:cs="B Mehr" w:hint="cs"/>
                              <w:rtl/>
                            </w:rPr>
                            <w:t>تقریر درس خارج اصول،  استاد حاج سید علی موسوی اردبیلی</w:t>
                          </w:r>
                          <w:r>
                            <w:rPr>
                              <w:rFonts w:cs="B Mehr" w:hint="cs"/>
                            </w:rPr>
                            <w:t xml:space="preserve"> </w:t>
                          </w:r>
                        </w:p>
                        <w:p w14:paraId="510DDAE1" w14:textId="77777777" w:rsidR="00BD090E" w:rsidRDefault="00BD090E" w:rsidP="00BD090E">
                          <w:pPr>
                            <w:bidi/>
                            <w:rPr>
                              <w:rFonts w:cs="B Mehr"/>
                            </w:rPr>
                          </w:pPr>
                          <w:r>
                            <w:rPr>
                              <w:rFonts w:cs="B Mehr" w:hint="cs"/>
                              <w:rtl/>
                            </w:rPr>
                            <w:t xml:space="preserve"> مبحث:    مفاهیم</w:t>
                          </w:r>
                        </w:p>
                        <w:p w14:paraId="1B92C00F" w14:textId="42783324" w:rsidR="00BD090E" w:rsidRDefault="00BD090E" w:rsidP="00BD090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4</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67DEBC84" w14:textId="77777777" w:rsidR="00BD090E" w:rsidRDefault="00BD090E" w:rsidP="00BD090E"/>
                        <w:p w14:paraId="66F2EF37" w14:textId="77777777" w:rsidR="00BD090E" w:rsidRDefault="00BD090E" w:rsidP="00BD090E"/>
                        <w:p w14:paraId="10CFF3F7" w14:textId="77777777" w:rsidR="00BD090E" w:rsidRDefault="00BD090E" w:rsidP="00BD090E"/>
                        <w:p w14:paraId="14CEFC30" w14:textId="77777777" w:rsidR="00BD090E" w:rsidRDefault="00BD090E" w:rsidP="00BD090E"/>
                        <w:p w14:paraId="63AD6C6A" w14:textId="77777777" w:rsidR="00BD090E" w:rsidRDefault="00BD090E" w:rsidP="00BD090E"/>
                        <w:p w14:paraId="0F251A71" w14:textId="77777777" w:rsidR="00BD090E" w:rsidRDefault="00BD090E" w:rsidP="00BD090E"/>
                        <w:p w14:paraId="1D74252A" w14:textId="77777777" w:rsidR="00BD090E" w:rsidRDefault="00BD090E" w:rsidP="00BD090E"/>
                        <w:p w14:paraId="0BC27402" w14:textId="77777777" w:rsidR="00BD090E" w:rsidRDefault="00BD090E" w:rsidP="00BD090E"/>
                        <w:p w14:paraId="3DE92999" w14:textId="77777777" w:rsidR="00BD090E" w:rsidRDefault="00BD090E" w:rsidP="00BD090E"/>
                        <w:p w14:paraId="34EDA741" w14:textId="77777777" w:rsidR="00BD090E" w:rsidRDefault="00BD090E" w:rsidP="00BD090E"/>
                        <w:p w14:paraId="1C3625D5" w14:textId="77777777" w:rsidR="00BD090E" w:rsidRDefault="00BD090E" w:rsidP="00BD090E"/>
                        <w:p w14:paraId="64561F37" w14:textId="77777777" w:rsidR="00BD090E" w:rsidRDefault="00BD090E" w:rsidP="00BD090E"/>
                        <w:p w14:paraId="56F85BB8" w14:textId="77777777" w:rsidR="00BD090E" w:rsidRDefault="00BD090E" w:rsidP="00BD090E"/>
                        <w:p w14:paraId="10E37A6A" w14:textId="77777777" w:rsidR="00BD090E" w:rsidRDefault="00BD090E" w:rsidP="00BD090E"/>
                        <w:p w14:paraId="01DBDC73" w14:textId="77777777" w:rsidR="00BD090E" w:rsidRDefault="00BD090E" w:rsidP="00BD090E"/>
                        <w:p w14:paraId="6AA4D422" w14:textId="77777777" w:rsidR="00BD090E" w:rsidRDefault="00BD090E" w:rsidP="00BD090E"/>
                        <w:p w14:paraId="506B0A93" w14:textId="77777777" w:rsidR="00BD090E" w:rsidRDefault="00BD090E" w:rsidP="00BD090E"/>
                        <w:p w14:paraId="35817B4D" w14:textId="77777777" w:rsidR="00BD090E" w:rsidRDefault="00BD090E" w:rsidP="00BD090E"/>
                        <w:p w14:paraId="266E4A5F" w14:textId="2D3FD361" w:rsidR="00BD090E" w:rsidRDefault="00BD0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E44CEB" id="_x0000_t202" coordsize="21600,21600" o:spt="202" path="m,l,21600r21600,l21600,xe">
              <v:stroke joinstyle="miter"/>
              <v:path gradientshapeok="t" o:connecttype="rect"/>
            </v:shapetype>
            <v:shape id="Text Box 2" o:spid="_x0000_s1026" type="#_x0000_t202" style="position:absolute;margin-left:137.3pt;margin-top:15pt;width:304.5pt;height:11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NfDgIAAPc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" stroked="f">
              <v:textbox>
                <w:txbxContent>
                  <w:p w14:paraId="38CDFA73" w14:textId="049CFDCB" w:rsidR="00BD090E" w:rsidRDefault="00BD090E" w:rsidP="00BD090E">
                    <w:pPr>
                      <w:bidi/>
                      <w:rPr>
                        <w:rFonts w:cs="B Mehr"/>
                      </w:rPr>
                    </w:pPr>
                    <w:r>
                      <w:rPr>
                        <w:rFonts w:cs="B Mehr" w:hint="cs"/>
                        <w:rtl/>
                      </w:rPr>
                      <w:t>تقریر درس خارج اصول،  استاد حاج سید علی موسوی اردبیلی</w:t>
                    </w:r>
                    <w:r>
                      <w:rPr>
                        <w:rFonts w:cs="B Mehr" w:hint="cs"/>
                      </w:rPr>
                      <w:t xml:space="preserve"> </w:t>
                    </w:r>
                  </w:p>
                  <w:p w14:paraId="510DDAE1" w14:textId="77777777" w:rsidR="00BD090E" w:rsidRDefault="00BD090E" w:rsidP="00BD090E">
                    <w:pPr>
                      <w:bidi/>
                      <w:rPr>
                        <w:rFonts w:cs="B Mehr"/>
                      </w:rPr>
                    </w:pPr>
                    <w:r>
                      <w:rPr>
                        <w:rFonts w:cs="B Mehr" w:hint="cs"/>
                        <w:rtl/>
                      </w:rPr>
                      <w:t xml:space="preserve"> مبحث:    مفاهیم</w:t>
                    </w:r>
                  </w:p>
                  <w:p w14:paraId="1B92C00F" w14:textId="42783324" w:rsidR="00BD090E" w:rsidRDefault="00BD090E" w:rsidP="00BD090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4</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67DEBC84" w14:textId="77777777" w:rsidR="00BD090E" w:rsidRDefault="00BD090E" w:rsidP="00BD090E"/>
                  <w:p w14:paraId="66F2EF37" w14:textId="77777777" w:rsidR="00BD090E" w:rsidRDefault="00BD090E" w:rsidP="00BD090E"/>
                  <w:p w14:paraId="10CFF3F7" w14:textId="77777777" w:rsidR="00BD090E" w:rsidRDefault="00BD090E" w:rsidP="00BD090E"/>
                  <w:p w14:paraId="14CEFC30" w14:textId="77777777" w:rsidR="00BD090E" w:rsidRDefault="00BD090E" w:rsidP="00BD090E"/>
                  <w:p w14:paraId="63AD6C6A" w14:textId="77777777" w:rsidR="00BD090E" w:rsidRDefault="00BD090E" w:rsidP="00BD090E"/>
                  <w:p w14:paraId="0F251A71" w14:textId="77777777" w:rsidR="00BD090E" w:rsidRDefault="00BD090E" w:rsidP="00BD090E"/>
                  <w:p w14:paraId="1D74252A" w14:textId="77777777" w:rsidR="00BD090E" w:rsidRDefault="00BD090E" w:rsidP="00BD090E"/>
                  <w:p w14:paraId="0BC27402" w14:textId="77777777" w:rsidR="00BD090E" w:rsidRDefault="00BD090E" w:rsidP="00BD090E"/>
                  <w:p w14:paraId="3DE92999" w14:textId="77777777" w:rsidR="00BD090E" w:rsidRDefault="00BD090E" w:rsidP="00BD090E"/>
                  <w:p w14:paraId="34EDA741" w14:textId="77777777" w:rsidR="00BD090E" w:rsidRDefault="00BD090E" w:rsidP="00BD090E"/>
                  <w:p w14:paraId="1C3625D5" w14:textId="77777777" w:rsidR="00BD090E" w:rsidRDefault="00BD090E" w:rsidP="00BD090E"/>
                  <w:p w14:paraId="64561F37" w14:textId="77777777" w:rsidR="00BD090E" w:rsidRDefault="00BD090E" w:rsidP="00BD090E"/>
                  <w:p w14:paraId="56F85BB8" w14:textId="77777777" w:rsidR="00BD090E" w:rsidRDefault="00BD090E" w:rsidP="00BD090E"/>
                  <w:p w14:paraId="10E37A6A" w14:textId="77777777" w:rsidR="00BD090E" w:rsidRDefault="00BD090E" w:rsidP="00BD090E"/>
                  <w:p w14:paraId="01DBDC73" w14:textId="77777777" w:rsidR="00BD090E" w:rsidRDefault="00BD090E" w:rsidP="00BD090E"/>
                  <w:p w14:paraId="6AA4D422" w14:textId="77777777" w:rsidR="00BD090E" w:rsidRDefault="00BD090E" w:rsidP="00BD090E"/>
                  <w:p w14:paraId="506B0A93" w14:textId="77777777" w:rsidR="00BD090E" w:rsidRDefault="00BD090E" w:rsidP="00BD090E"/>
                  <w:p w14:paraId="35817B4D" w14:textId="77777777" w:rsidR="00BD090E" w:rsidRDefault="00BD090E" w:rsidP="00BD090E"/>
                  <w:p w14:paraId="266E4A5F" w14:textId="2D3FD361" w:rsidR="00BD090E" w:rsidRDefault="00BD090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25FA649" wp14:editId="6A7B0B7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F203" w14:textId="77777777" w:rsidR="00BD090E" w:rsidRDefault="00BD09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4592"/>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090E"/>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581F"/>
    <w:rsid w:val="00D35BF7"/>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2529</TotalTime>
  <Pages>1</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982</cp:revision>
  <cp:lastPrinted>2024-12-20T09:10:00Z</cp:lastPrinted>
  <dcterms:created xsi:type="dcterms:W3CDTF">2022-10-16T08:36:00Z</dcterms:created>
  <dcterms:modified xsi:type="dcterms:W3CDTF">2024-12-25T06:56:00Z</dcterms:modified>
</cp:coreProperties>
</file>