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D85D" w14:textId="77777777" w:rsidR="0051293C" w:rsidRDefault="0051293C" w:rsidP="0051293C">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000C198B" w14:textId="77777777" w:rsidR="0051293C" w:rsidRDefault="0051293C" w:rsidP="0051293C">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6B3C8DFC" w14:textId="77777777" w:rsidR="0051293C" w:rsidRDefault="0051293C" w:rsidP="0051293C">
      <w:pPr>
        <w:widowControl w:val="0"/>
        <w:bidi/>
        <w:spacing w:after="0"/>
        <w:jc w:val="center"/>
        <w:rPr>
          <w:rFonts w:cs="B Mitra" w:hint="cs"/>
          <w:b/>
          <w:bCs/>
          <w:sz w:val="32"/>
          <w:szCs w:val="32"/>
          <w:rtl/>
          <w:lang w:bidi="fa-IR"/>
        </w:rPr>
      </w:pPr>
      <w:r>
        <w:rPr>
          <w:rFonts w:cs="B Mitra" w:hint="cs"/>
          <w:b/>
          <w:bCs/>
          <w:sz w:val="32"/>
          <w:szCs w:val="32"/>
          <w:rtl/>
          <w:lang w:bidi="fa-IR"/>
        </w:rPr>
        <w:t>جلسه 925</w:t>
      </w:r>
    </w:p>
    <w:p w14:paraId="0D1FE800" w14:textId="77777777" w:rsidR="0051293C" w:rsidRDefault="0051293C" w:rsidP="0051293C">
      <w:pPr>
        <w:widowControl w:val="0"/>
        <w:bidi/>
        <w:spacing w:after="0"/>
        <w:ind w:firstLine="284"/>
        <w:jc w:val="both"/>
        <w:rPr>
          <w:rFonts w:cs="Abz-2 (Badr)" w:hint="cs"/>
          <w:color w:val="000000" w:themeColor="text1"/>
          <w:sz w:val="28"/>
          <w:szCs w:val="28"/>
          <w:rtl/>
          <w:lang w:bidi="fa-IR"/>
        </w:rPr>
      </w:pPr>
      <w:bookmarkStart w:id="0" w:name="_Hlk159096966"/>
    </w:p>
    <w:p w14:paraId="1C13F509" w14:textId="77777777" w:rsidR="0051293C" w:rsidRDefault="0051293C" w:rsidP="0051293C">
      <w:pPr>
        <w:widowControl w:val="0"/>
        <w:bidi/>
        <w:spacing w:after="0"/>
        <w:ind w:firstLine="284"/>
        <w:jc w:val="both"/>
        <w:rPr>
          <w:rFonts w:cs="Abz-2 (Badr)" w:hint="cs"/>
          <w:color w:val="C45911" w:themeColor="accent2" w:themeShade="BF"/>
          <w:sz w:val="28"/>
          <w:szCs w:val="28"/>
          <w:rtl/>
          <w:lang w:bidi="fa-IR"/>
        </w:rPr>
      </w:pPr>
    </w:p>
    <w:bookmarkEnd w:id="0"/>
    <w:p w14:paraId="44AC141D"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آنچه که در نهايت کلام در خصوص مدخليت يسار زوج برای دادن نفقه در نکاح می</w:t>
      </w:r>
      <w:r>
        <w:rPr>
          <w:rFonts w:cs="Abz-2 (Badr)" w:hint="cs"/>
          <w:color w:val="000000" w:themeColor="text1"/>
          <w:sz w:val="28"/>
          <w:szCs w:val="28"/>
          <w:rtl/>
          <w:lang w:bidi="fa-IR"/>
        </w:rPr>
        <w:softHyphen/>
        <w:t>توان به آن ملتزم شد، اين است که عدم تمکّن زوج از نفقه در ابتدای نکاح مدخليتی در صحت و فساد نکاح نداشته و مجوز فسخ نکاح نيز نمی</w:t>
      </w:r>
      <w:r>
        <w:rPr>
          <w:rFonts w:cs="Abz-2 (Badr)" w:hint="cs"/>
          <w:color w:val="000000" w:themeColor="text1"/>
          <w:sz w:val="28"/>
          <w:szCs w:val="28"/>
          <w:rtl/>
          <w:lang w:bidi="fa-IR"/>
        </w:rPr>
        <w:softHyphen/>
        <w:t>باشد.</w:t>
      </w:r>
    </w:p>
    <w:p w14:paraId="188C7F12"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البته چنانچه در نکاح يسار زوج شرط شده باشد و يا اين که اين مطلب به حسب مورد، از شروط عرفی ارتکازی ضمن نکاح باشد، زوجه می</w:t>
      </w:r>
      <w:r>
        <w:rPr>
          <w:rFonts w:cs="Abz-2 (Badr)" w:hint="cs"/>
          <w:color w:val="000000" w:themeColor="text1"/>
          <w:sz w:val="28"/>
          <w:szCs w:val="28"/>
          <w:rtl/>
          <w:lang w:bidi="fa-IR"/>
        </w:rPr>
        <w:softHyphen/>
        <w:t>تواند از باب تدليس نکاح را فسخ نمايد و تفصيل اين مطلب سابقاً و در بحث از مجوزات فسخ نکاح گذشت و گفتيم که فسخ نکاح به واسطه تدليس، منحصر در تدليس در موارد خاص نيست و هر تدليسی مجوز فسخ نکاح است.</w:t>
      </w:r>
    </w:p>
    <w:p w14:paraId="60F3838B"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 نيز چنانچه انکاح توسط ولی يا وکيل صورت پذيرفته باشد و انکاح به زوجی که متمکن از نفقه نيست، خروج از دايره ولايت يا وکالت باشد، نکاح مذکور فضولی شده و زوجه حق رد يا امضای آن را دارد.</w:t>
      </w:r>
    </w:p>
    <w:p w14:paraId="790A5990" w14:textId="77777777" w:rsidR="0051293C" w:rsidRDefault="0051293C" w:rsidP="0051293C">
      <w:pPr>
        <w:widowControl w:val="0"/>
        <w:bidi/>
        <w:spacing w:after="0" w:line="252" w:lineRule="auto"/>
        <w:ind w:firstLine="284"/>
        <w:jc w:val="both"/>
        <w:rPr>
          <w:rFonts w:cs="Abz-2 (Badr)" w:hint="cs"/>
          <w:color w:val="7030A0"/>
          <w:sz w:val="28"/>
          <w:szCs w:val="28"/>
          <w:rtl/>
          <w:lang w:bidi="fa-IR"/>
        </w:rPr>
      </w:pPr>
      <w:r>
        <w:rPr>
          <w:rFonts w:cs="Abz-2 (Badr)" w:hint="cs"/>
          <w:color w:val="7030A0"/>
          <w:sz w:val="28"/>
          <w:szCs w:val="28"/>
          <w:rtl/>
          <w:lang w:bidi="fa-IR"/>
        </w:rPr>
        <w:t>مقام دوم: عدم قدرت زوج بر تأمين نفقه زوجه بعد از نکاح</w:t>
      </w:r>
    </w:p>
    <w:p w14:paraId="1D1AE300"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چنانچه زوج بعد از ازدواج، دچار تنگنای مالی شود و قدرت بر تأمين نفقه زوجه را از دست بدهد، آيا در اين صورت زوجه حقی برای فسخ نکاح يا مطالبه طلاق خواهد داشت؟</w:t>
      </w:r>
    </w:p>
    <w:p w14:paraId="2B8329E1" w14:textId="77777777" w:rsidR="0051293C" w:rsidRDefault="0051293C" w:rsidP="0051293C">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شيخ در خلاف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«إذا أعسر فلم يقدر على النفقة على زوجته، لم تملك زوجته الفسخ وعليها أن تصبر إلى أن يوسر؛ وبه قال من التابعين الزهري، وعطاء بن يسار، وإليه ذهب أهل الكوفة؛ ابن أبي ليلى، وابن شبرمة، وأبو حنيفة، وأبو يوسف، ومحمّد.</w:t>
      </w:r>
    </w:p>
    <w:p w14:paraId="61EA5D06" w14:textId="77777777" w:rsidR="0051293C" w:rsidRDefault="0051293C" w:rsidP="0051293C">
      <w:pPr>
        <w:widowControl w:val="0"/>
        <w:bidi/>
        <w:spacing w:after="0" w:line="252" w:lineRule="auto"/>
        <w:ind w:firstLine="284"/>
        <w:jc w:val="both"/>
        <w:rPr>
          <w:rFonts w:cs="Abz-2 (Badr)"/>
          <w:color w:val="0070C0"/>
          <w:sz w:val="28"/>
          <w:szCs w:val="28"/>
          <w:lang w:bidi="fa-IR"/>
        </w:rPr>
      </w:pPr>
      <w:r>
        <w:rPr>
          <w:rFonts w:cs="Abz-2 (Badr)" w:hint="cs"/>
          <w:color w:val="0070C0"/>
          <w:sz w:val="28"/>
          <w:szCs w:val="28"/>
          <w:rtl/>
          <w:lang w:bidi="fa-IR"/>
        </w:rPr>
        <w:lastRenderedPageBreak/>
        <w:t>وقال الشافعي: هي مخيّرة بين أن تصبر حتّى إذا أيسر استوفت ما اجتمع لها، وبين أن تختار الفسخ، فيفسخ الحاكم بينهما. وكذلك إذا أعسر بالصداق قبل الدخول، فالاعسار عيب بذمّته، فلها الفسخ. وبه قال في الصحابة ـ على ما رووه ـ علي(ع)، وعمر، وأبو هريرة؛ وفي التابعين سعيد بن المسيّب وسليمان بن يسار، وعطاء بن أبي رباح؛ وفي الفقهاء حمّاد بن أبي سليمان، وربيعة بن أبي عبدالرحمن، ومالك، وأحمد، وإسحاق.</w:t>
      </w:r>
    </w:p>
    <w:p w14:paraId="76FFA989" w14:textId="77777777" w:rsidR="0051293C" w:rsidRDefault="0051293C" w:rsidP="0051293C">
      <w:pPr>
        <w:widowControl w:val="0"/>
        <w:bidi/>
        <w:spacing w:after="0" w:line="261" w:lineRule="auto"/>
        <w:ind w:firstLine="284"/>
        <w:jc w:val="both"/>
        <w:rPr>
          <w:rFonts w:cs="Abz-2 (Badr)" w:hint="cs"/>
          <w:color w:val="0070C0"/>
          <w:sz w:val="28"/>
          <w:szCs w:val="28"/>
          <w:rtl/>
          <w:lang w:bidi="fa-IR"/>
        </w:rPr>
      </w:pPr>
      <w:r>
        <w:rPr>
          <w:rFonts w:cs="Abz-2 (Badr)" w:hint="cs"/>
          <w:color w:val="0070C0"/>
          <w:sz w:val="28"/>
          <w:szCs w:val="28"/>
          <w:rtl/>
          <w:lang w:bidi="fa-IR"/>
        </w:rPr>
        <w:t xml:space="preserve">دليلنا: قوله تعالى: </w:t>
      </w:r>
      <w:r>
        <w:rPr>
          <w:rFonts w:cs="QuranTaha" w:hint="cs"/>
          <w:color w:val="BF8F00" w:themeColor="accent4" w:themeShade="BF"/>
          <w:sz w:val="26"/>
          <w:szCs w:val="26"/>
          <w:rtl/>
          <w:lang w:bidi="fa-IR"/>
        </w:rPr>
        <w:t>«وَإِنْ‌ كٰانَ‌ ذُو عُسْرَةٍ‌ فَنَظِرَةٌ‌ إِلىٰ‌ مَيْسَرَةٍ»</w:t>
      </w:r>
      <w:r>
        <w:rPr>
          <w:rStyle w:val="FootnoteReference"/>
          <w:rFonts w:cs="Abz-2 (Badr)"/>
          <w:color w:val="000000" w:themeColor="text1"/>
          <w:sz w:val="26"/>
          <w:szCs w:val="26"/>
          <w:rtl/>
          <w:lang w:bidi="fa-IR"/>
        </w:rPr>
        <w:footnoteReference w:id="1"/>
      </w:r>
      <w:r>
        <w:rPr>
          <w:rFonts w:cs="Abz-2 (Badr)" w:hint="cs"/>
          <w:color w:val="0070C0"/>
          <w:sz w:val="28"/>
          <w:szCs w:val="28"/>
          <w:rtl/>
          <w:lang w:bidi="fa-IR"/>
        </w:rPr>
        <w:t xml:space="preserve"> ولم يفصّل، وقال تعالى: </w:t>
      </w:r>
      <w:r>
        <w:rPr>
          <w:rFonts w:cs="QuranTaha" w:hint="cs"/>
          <w:color w:val="BF8F00" w:themeColor="accent4" w:themeShade="BF"/>
          <w:sz w:val="26"/>
          <w:szCs w:val="26"/>
          <w:rtl/>
          <w:lang w:bidi="fa-IR"/>
        </w:rPr>
        <w:t>«وَأَنْكِحُوا الْأَيٰامىٰ‌ مِنْكُمْ وَالصّٰالِحِينَ‌ مِنْ‌ عِبٰادِكُمْ وَإِمٰائِكُمْ إِنْ يَكُونُوا فُقَرٰاءَ يُغْنِهِمُ اللّٰهُ مِنْ فَضْلِهِ»</w:t>
      </w:r>
      <w:r>
        <w:rPr>
          <w:rStyle w:val="FootnoteReference"/>
          <w:rFonts w:cs="Abz-2 (Badr)"/>
          <w:color w:val="000000" w:themeColor="text1"/>
          <w:sz w:val="26"/>
          <w:szCs w:val="26"/>
          <w:rtl/>
          <w:lang w:bidi="fa-IR"/>
        </w:rPr>
        <w:footnoteReference w:id="2"/>
      </w:r>
      <w:r>
        <w:rPr>
          <w:rFonts w:cs="Abz-2 (Badr)" w:hint="cs"/>
          <w:color w:val="0070C0"/>
          <w:sz w:val="28"/>
          <w:szCs w:val="28"/>
          <w:rtl/>
          <w:lang w:bidi="fa-IR"/>
        </w:rPr>
        <w:t>، فندب الفقراء إلى النكاح، فلو كان الفقر سبباً تملك به فسخ النكاح، ما ندب إلى النكاح من يملك الفسخ عقيب النكاح.</w:t>
      </w:r>
    </w:p>
    <w:p w14:paraId="4917DE5C" w14:textId="77777777" w:rsidR="0051293C" w:rsidRDefault="0051293C" w:rsidP="0051293C">
      <w:pPr>
        <w:widowControl w:val="0"/>
        <w:bidi/>
        <w:spacing w:after="0" w:line="240" w:lineRule="auto"/>
        <w:ind w:firstLine="284"/>
        <w:jc w:val="both"/>
        <w:rPr>
          <w:rFonts w:cs="Abz-2 (Badr)" w:hint="cs"/>
          <w:color w:val="0070C0"/>
          <w:sz w:val="28"/>
          <w:szCs w:val="28"/>
          <w:rtl/>
          <w:lang w:bidi="fa-IR"/>
        </w:rPr>
      </w:pPr>
      <w:r>
        <w:rPr>
          <w:rFonts w:cs="Abz-2 (Badr)" w:hint="cs"/>
          <w:color w:val="0070C0"/>
          <w:sz w:val="28"/>
          <w:szCs w:val="28"/>
          <w:rtl/>
          <w:lang w:bidi="fa-IR"/>
        </w:rPr>
        <w:t>وأخبار أصحابنا واردة بذلك وقد ذكرناها في مواضعها.»</w:t>
      </w:r>
      <w:r>
        <w:rPr>
          <w:rStyle w:val="FootnoteReference"/>
          <w:rFonts w:cs="Abz-2 (Badr)"/>
          <w:color w:val="000000" w:themeColor="text1"/>
          <w:sz w:val="26"/>
          <w:szCs w:val="26"/>
          <w:rtl/>
          <w:lang w:bidi="fa-IR"/>
        </w:rPr>
        <w:footnoteReference w:id="3"/>
      </w:r>
    </w:p>
    <w:p w14:paraId="33BA5759" w14:textId="77777777" w:rsidR="0051293C" w:rsidRDefault="0051293C" w:rsidP="0051293C">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مبسوط نيز نظير همين مطلب را بيان کرده</w:t>
      </w:r>
      <w:r>
        <w:rPr>
          <w:rFonts w:cs="Abz-2 (Badr)" w:hint="cs"/>
          <w:color w:val="000000" w:themeColor="text1"/>
          <w:sz w:val="28"/>
          <w:szCs w:val="28"/>
          <w:rtl/>
          <w:lang w:bidi="fa-IR"/>
        </w:rPr>
        <w:softHyphen/>
        <w:t>اند.</w:t>
      </w:r>
      <w:r>
        <w:rPr>
          <w:rStyle w:val="FootnoteReference"/>
          <w:rFonts w:cs="Abz-2 (Badr)"/>
          <w:color w:val="000000" w:themeColor="text1"/>
          <w:sz w:val="26"/>
          <w:szCs w:val="26"/>
          <w:rtl/>
          <w:lang w:bidi="fa-IR"/>
        </w:rPr>
        <w:footnoteReference w:id="4"/>
      </w:r>
      <w:r>
        <w:rPr>
          <w:rFonts w:cs="Abz-2 (Badr)" w:hint="cs"/>
          <w:color w:val="000000" w:themeColor="text1"/>
          <w:sz w:val="28"/>
          <w:szCs w:val="28"/>
          <w:rtl/>
          <w:lang w:bidi="fa-IR"/>
        </w:rPr>
        <w:t xml:space="preserve"> در خلاف هم ايشان قائل به لزوم مهلت دادن به زوج تا زمان يسار شده</w:t>
      </w:r>
      <w:r>
        <w:rPr>
          <w:rFonts w:cs="Abz-2 (Badr)" w:hint="cs"/>
          <w:color w:val="000000" w:themeColor="text1"/>
          <w:sz w:val="28"/>
          <w:szCs w:val="28"/>
          <w:rtl/>
          <w:lang w:bidi="fa-IR"/>
        </w:rPr>
        <w:softHyphen/>
        <w:t>اند.</w:t>
      </w:r>
      <w:r>
        <w:rPr>
          <w:rStyle w:val="FootnoteReference"/>
          <w:rFonts w:cs="Abz-2 (Badr)"/>
          <w:color w:val="000000" w:themeColor="text1"/>
          <w:sz w:val="26"/>
          <w:szCs w:val="26"/>
          <w:rtl/>
          <w:lang w:bidi="fa-IR"/>
        </w:rPr>
        <w:footnoteReference w:id="5"/>
      </w:r>
    </w:p>
    <w:p w14:paraId="0EB5C8B4" w14:textId="77777777" w:rsidR="0051293C" w:rsidRDefault="0051293C" w:rsidP="0051293C">
      <w:pPr>
        <w:widowControl w:val="0"/>
        <w:bidi/>
        <w:spacing w:after="0" w:line="240"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ابن برّاج</w:t>
      </w:r>
      <w:r>
        <w:rPr>
          <w:rStyle w:val="FootnoteReference"/>
          <w:rFonts w:cs="Abz-2 (Badr)"/>
          <w:color w:val="000000" w:themeColor="text1"/>
          <w:sz w:val="26"/>
          <w:szCs w:val="26"/>
          <w:rtl/>
          <w:lang w:bidi="fa-IR"/>
        </w:rPr>
        <w:footnoteReference w:id="6"/>
      </w:r>
      <w:r>
        <w:rPr>
          <w:rFonts w:cs="Abz-2 (Badr)" w:hint="cs"/>
          <w:color w:val="000000" w:themeColor="text1"/>
          <w:sz w:val="28"/>
          <w:szCs w:val="28"/>
          <w:rtl/>
          <w:lang w:bidi="fa-IR"/>
        </w:rPr>
        <w:t>، ابن حمزة</w:t>
      </w:r>
      <w:r>
        <w:rPr>
          <w:rStyle w:val="FootnoteReference"/>
          <w:rFonts w:cs="Abz-2 (Badr)"/>
          <w:color w:val="000000" w:themeColor="text1"/>
          <w:sz w:val="26"/>
          <w:szCs w:val="26"/>
          <w:rtl/>
          <w:lang w:bidi="fa-IR"/>
        </w:rPr>
        <w:footnoteReference w:id="7"/>
      </w:r>
      <w:r>
        <w:rPr>
          <w:rFonts w:cs="Abz-2 (Badr)" w:hint="cs"/>
          <w:color w:val="000000" w:themeColor="text1"/>
          <w:sz w:val="28"/>
          <w:szCs w:val="28"/>
          <w:rtl/>
          <w:lang w:bidi="fa-IR"/>
        </w:rPr>
        <w:t xml:space="preserve"> و ابن ادريس</w:t>
      </w:r>
      <w:r>
        <w:rPr>
          <w:rStyle w:val="FootnoteReference"/>
          <w:rFonts w:cs="Abz-2 (Badr)"/>
          <w:color w:val="000000" w:themeColor="text1"/>
          <w:sz w:val="26"/>
          <w:szCs w:val="26"/>
          <w:rtl/>
          <w:lang w:bidi="fa-IR"/>
        </w:rPr>
        <w:footnoteReference w:id="8"/>
      </w:r>
      <w:r>
        <w:rPr>
          <w:rFonts w:cs="Abz-2 (Badr)" w:hint="cs"/>
          <w:color w:val="000000" w:themeColor="text1"/>
          <w:sz w:val="28"/>
          <w:szCs w:val="28"/>
          <w:rtl/>
          <w:lang w:bidi="fa-IR"/>
        </w:rPr>
        <w:t xml:space="preserve"> نيز قائل به همين قول شده</w:t>
      </w:r>
      <w:r>
        <w:rPr>
          <w:rFonts w:cs="Abz-2 (Badr)" w:hint="cs"/>
          <w:color w:val="000000" w:themeColor="text1"/>
          <w:sz w:val="28"/>
          <w:szCs w:val="28"/>
          <w:rtl/>
          <w:lang w:bidi="fa-IR"/>
        </w:rPr>
        <w:softHyphen/>
        <w:t>اند.</w:t>
      </w:r>
    </w:p>
    <w:p w14:paraId="6EE14CEC" w14:textId="77777777" w:rsidR="0051293C" w:rsidRDefault="0051293C" w:rsidP="0051293C">
      <w:pPr>
        <w:widowControl w:val="0"/>
        <w:bidi/>
        <w:spacing w:after="0" w:line="240"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کيدري نيز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إذا أعسر الرجل بنفقة زوجته، فعليها النظرة إلى ميسرة ولا يفسخ الحاكم العقد بمطالبتها.»</w:t>
      </w:r>
      <w:r>
        <w:rPr>
          <w:rStyle w:val="FootnoteReference"/>
          <w:rFonts w:cs="Abz-2 (Badr)"/>
          <w:color w:val="000000" w:themeColor="text1"/>
          <w:sz w:val="26"/>
          <w:szCs w:val="26"/>
          <w:rtl/>
          <w:lang w:bidi="fa-IR"/>
        </w:rPr>
        <w:footnoteReference w:id="9"/>
      </w:r>
    </w:p>
    <w:p w14:paraId="5450E807" w14:textId="77777777" w:rsidR="0051293C" w:rsidRDefault="0051293C" w:rsidP="0051293C">
      <w:pPr>
        <w:widowControl w:val="0"/>
        <w:bidi/>
        <w:spacing w:after="0" w:line="240"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محقق در نافع</w:t>
      </w:r>
      <w:r>
        <w:rPr>
          <w:rStyle w:val="FootnoteReference"/>
          <w:rFonts w:cs="Abz-2 (Badr)"/>
          <w:color w:val="000000" w:themeColor="text1"/>
          <w:sz w:val="26"/>
          <w:szCs w:val="26"/>
          <w:rtl/>
          <w:lang w:bidi="fa-IR"/>
        </w:rPr>
        <w:footnoteReference w:id="10"/>
      </w:r>
      <w:r>
        <w:rPr>
          <w:rFonts w:cs="Abz-2 (Badr)" w:hint="cs"/>
          <w:color w:val="000000" w:themeColor="text1"/>
          <w:sz w:val="28"/>
          <w:szCs w:val="28"/>
          <w:rtl/>
          <w:lang w:bidi="fa-IR"/>
        </w:rPr>
        <w:t>، علامه در قواعد</w:t>
      </w:r>
      <w:r>
        <w:rPr>
          <w:rStyle w:val="FootnoteReference"/>
          <w:rFonts w:cs="Abz-2 (Badr)"/>
          <w:color w:val="000000" w:themeColor="text1"/>
          <w:sz w:val="26"/>
          <w:szCs w:val="26"/>
          <w:rtl/>
          <w:lang w:bidi="fa-IR"/>
        </w:rPr>
        <w:footnoteReference w:id="11"/>
      </w:r>
      <w:r>
        <w:rPr>
          <w:rFonts w:cs="Abz-2 (Badr)" w:hint="cs"/>
          <w:color w:val="000000" w:themeColor="text1"/>
          <w:sz w:val="28"/>
          <w:szCs w:val="28"/>
          <w:rtl/>
          <w:lang w:bidi="fa-IR"/>
        </w:rPr>
        <w:t xml:space="preserve"> و ارشاد</w:t>
      </w:r>
      <w:r>
        <w:rPr>
          <w:rStyle w:val="FootnoteReference"/>
          <w:rFonts w:cs="Abz-2 (Badr)"/>
          <w:color w:val="000000" w:themeColor="text1"/>
          <w:sz w:val="26"/>
          <w:szCs w:val="26"/>
          <w:rtl/>
          <w:lang w:bidi="fa-IR"/>
        </w:rPr>
        <w:footnoteReference w:id="12"/>
      </w:r>
      <w:r>
        <w:rPr>
          <w:rFonts w:cs="Abz-2 (Badr)" w:hint="cs"/>
          <w:color w:val="000000" w:themeColor="text1"/>
          <w:sz w:val="28"/>
          <w:szCs w:val="28"/>
          <w:rtl/>
          <w:lang w:bidi="fa-IR"/>
        </w:rPr>
        <w:t>، محقق کرکی</w:t>
      </w:r>
      <w:r>
        <w:rPr>
          <w:rStyle w:val="FootnoteReference"/>
          <w:rFonts w:cs="Abz-2 (Badr)"/>
          <w:color w:val="000000" w:themeColor="text1"/>
          <w:sz w:val="26"/>
          <w:szCs w:val="26"/>
          <w:rtl/>
          <w:lang w:bidi="fa-IR"/>
        </w:rPr>
        <w:footnoteReference w:id="13"/>
      </w:r>
      <w:r>
        <w:rPr>
          <w:rFonts w:cs="Abz-2 (Badr)" w:hint="cs"/>
          <w:color w:val="000000" w:themeColor="text1"/>
          <w:sz w:val="28"/>
          <w:szCs w:val="28"/>
          <w:rtl/>
          <w:lang w:bidi="fa-IR"/>
        </w:rPr>
        <w:t>، صاحب حدائق</w:t>
      </w:r>
      <w:r>
        <w:rPr>
          <w:rStyle w:val="FootnoteReference"/>
          <w:rFonts w:cs="Abz-2 (Badr)"/>
          <w:color w:val="000000" w:themeColor="text1"/>
          <w:sz w:val="26"/>
          <w:szCs w:val="26"/>
          <w:rtl/>
          <w:lang w:bidi="fa-IR"/>
        </w:rPr>
        <w:footnoteReference w:id="14"/>
      </w:r>
      <w:r>
        <w:rPr>
          <w:rFonts w:cs="Abz-2 (Badr)" w:hint="cs"/>
          <w:color w:val="000000" w:themeColor="text1"/>
          <w:sz w:val="28"/>
          <w:szCs w:val="28"/>
          <w:rtl/>
          <w:lang w:bidi="fa-IR"/>
        </w:rPr>
        <w:t>، صاحب رياض</w:t>
      </w:r>
      <w:r>
        <w:rPr>
          <w:rStyle w:val="FootnoteReference"/>
          <w:rFonts w:cs="Abz-2 (Badr)"/>
          <w:color w:val="000000" w:themeColor="text1"/>
          <w:sz w:val="26"/>
          <w:szCs w:val="26"/>
          <w:rtl/>
          <w:lang w:bidi="fa-IR"/>
        </w:rPr>
        <w:footnoteReference w:id="15"/>
      </w:r>
      <w:r>
        <w:rPr>
          <w:rFonts w:cs="Abz-2 (Badr)" w:hint="cs"/>
          <w:color w:val="000000" w:themeColor="text1"/>
          <w:sz w:val="28"/>
          <w:szCs w:val="28"/>
          <w:rtl/>
          <w:lang w:bidi="fa-IR"/>
        </w:rPr>
        <w:t xml:space="preserve"> و صاحب جواهر</w:t>
      </w:r>
      <w:r>
        <w:rPr>
          <w:rStyle w:val="FootnoteReference"/>
          <w:rFonts w:cs="Abz-2 (Badr)"/>
          <w:color w:val="000000" w:themeColor="text1"/>
          <w:sz w:val="26"/>
          <w:szCs w:val="26"/>
          <w:rtl/>
          <w:lang w:bidi="fa-IR"/>
        </w:rPr>
        <w:footnoteReference w:id="16"/>
      </w:r>
      <w:r>
        <w:rPr>
          <w:rFonts w:cs="Abz-2 (Badr)" w:hint="cs"/>
          <w:color w:val="000000" w:themeColor="text1"/>
          <w:sz w:val="28"/>
          <w:szCs w:val="28"/>
          <w:rtl/>
          <w:lang w:bidi="fa-IR"/>
        </w:rPr>
        <w:t xml:space="preserve"> نيز قائل به اين شده</w:t>
      </w:r>
      <w:r>
        <w:rPr>
          <w:rFonts w:cs="Abz-2 (Badr)" w:hint="cs"/>
          <w:color w:val="000000" w:themeColor="text1"/>
          <w:sz w:val="28"/>
          <w:szCs w:val="28"/>
          <w:rtl/>
          <w:lang w:bidi="fa-IR"/>
        </w:rPr>
        <w:softHyphen/>
        <w:t>اند که زوجه حقی برای فسخ يا مطالبه طلاق در فرض مذکور ندارد.</w:t>
      </w:r>
    </w:p>
    <w:p w14:paraId="3EE23CC5" w14:textId="77777777" w:rsidR="0051293C" w:rsidRDefault="0051293C" w:rsidP="0051293C">
      <w:pPr>
        <w:widowControl w:val="0"/>
        <w:bidi/>
        <w:spacing w:after="0" w:line="240" w:lineRule="auto"/>
        <w:ind w:firstLine="284"/>
        <w:jc w:val="both"/>
        <w:rPr>
          <w:rFonts w:cs="Abz-2 (Badr)" w:hint="cs"/>
          <w:color w:val="0070C0"/>
          <w:sz w:val="28"/>
          <w:szCs w:val="28"/>
          <w:rtl/>
          <w:lang w:bidi="ar"/>
        </w:rPr>
      </w:pPr>
      <w:r>
        <w:rPr>
          <w:rFonts w:cs="Abz-2 (Badr)" w:hint="cs"/>
          <w:color w:val="000000" w:themeColor="text1"/>
          <w:sz w:val="28"/>
          <w:szCs w:val="28"/>
          <w:rtl/>
          <w:lang w:bidi="fa-IR"/>
        </w:rPr>
        <w:t>بلکه علامه در مختلف</w:t>
      </w:r>
      <w:r>
        <w:rPr>
          <w:rStyle w:val="FootnoteReference"/>
          <w:rFonts w:cs="Abz-2 (Badr)"/>
          <w:color w:val="000000" w:themeColor="text1"/>
          <w:sz w:val="26"/>
          <w:szCs w:val="26"/>
          <w:rtl/>
          <w:lang w:bidi="fa-IR"/>
        </w:rPr>
        <w:footnoteReference w:id="17"/>
      </w:r>
      <w:r>
        <w:rPr>
          <w:rFonts w:cs="Abz-2 (Badr)" w:hint="cs"/>
          <w:color w:val="000000" w:themeColor="text1"/>
          <w:sz w:val="28"/>
          <w:szCs w:val="28"/>
          <w:rtl/>
          <w:lang w:bidi="fa-IR"/>
        </w:rPr>
        <w:t xml:space="preserve"> ادعای شهرت بر اين قول کرده است. هرچند در ادامه مطلب فرموده است: </w:t>
      </w:r>
      <w:r>
        <w:rPr>
          <w:rFonts w:cs="Abz-2 (Badr)" w:hint="cs"/>
          <w:color w:val="0070C0"/>
          <w:sz w:val="28"/>
          <w:szCs w:val="28"/>
          <w:rtl/>
          <w:lang w:bidi="fa-IR"/>
        </w:rPr>
        <w:t>«</w:t>
      </w:r>
      <w:r>
        <w:rPr>
          <w:rFonts w:cs="Abz-2 (Badr)" w:hint="cs"/>
          <w:color w:val="0070C0"/>
          <w:sz w:val="28"/>
          <w:szCs w:val="28"/>
          <w:rtl/>
          <w:lang w:bidi="ar"/>
        </w:rPr>
        <w:t>قال ابن الجنيد بالخيار، لرواية عن الصادق(ع). ولاشتماله على الضرر، إذ لا يمكنه الإنفاق لعسره، فلو لم يجعل لها الخيار لزم الحرج المنفيّ بالإجماع.</w:t>
      </w:r>
    </w:p>
    <w:p w14:paraId="08421E72" w14:textId="77777777" w:rsidR="0051293C" w:rsidRDefault="0051293C" w:rsidP="0051293C">
      <w:pPr>
        <w:widowControl w:val="0"/>
        <w:bidi/>
        <w:spacing w:after="0" w:line="240" w:lineRule="auto"/>
        <w:ind w:firstLine="284"/>
        <w:jc w:val="both"/>
        <w:rPr>
          <w:rFonts w:cs="Abz-2 (Badr)" w:hint="cs"/>
          <w:color w:val="0070C0"/>
          <w:sz w:val="28"/>
          <w:szCs w:val="28"/>
          <w:rtl/>
          <w:lang w:bidi="ar"/>
        </w:rPr>
      </w:pPr>
      <w:r>
        <w:rPr>
          <w:rFonts w:cs="Abz-2 (Badr)" w:hint="cs"/>
          <w:color w:val="0070C0"/>
          <w:sz w:val="28"/>
          <w:szCs w:val="28"/>
          <w:rtl/>
          <w:lang w:bidi="ar"/>
        </w:rPr>
        <w:t>وهو معارض بما روي عن أمير المؤمنين(ع): أنّ‌ امرأة استعدت على زوجها أنّه لا ينفق عليها وكان زوجها معسراً، فأبى أمير المؤمنين(ع) أن يحبسه وقال:</w:t>
      </w:r>
      <w:r>
        <w:rPr>
          <w:rFonts w:cs="Abz-2 (Badr)" w:hint="cs"/>
          <w:color w:val="000000" w:themeColor="text1"/>
          <w:sz w:val="28"/>
          <w:szCs w:val="28"/>
          <w:rtl/>
          <w:lang w:bidi="ar"/>
        </w:rPr>
        <w:t xml:space="preserve"> </w:t>
      </w:r>
      <w:r>
        <w:rPr>
          <w:rFonts w:cs="QuranTaha" w:hint="cs"/>
          <w:color w:val="BF8F00" w:themeColor="accent4" w:themeShade="BF"/>
          <w:sz w:val="26"/>
          <w:szCs w:val="26"/>
          <w:rtl/>
          <w:lang w:bidi="fa-IR"/>
        </w:rPr>
        <w:t>«إِنَّ‌ مَعَ‌ الْعُسْرِ يُسْراً»</w:t>
      </w:r>
      <w:r>
        <w:rPr>
          <w:rStyle w:val="FootnoteReference"/>
          <w:rFonts w:cs="Abz-2 (Badr)"/>
          <w:color w:val="000000" w:themeColor="text1"/>
          <w:sz w:val="26"/>
          <w:szCs w:val="26"/>
          <w:rtl/>
          <w:lang w:bidi="fa-IR"/>
        </w:rPr>
        <w:footnoteReference w:id="18"/>
      </w:r>
      <w:r>
        <w:rPr>
          <w:rFonts w:cs="Abz-2 (Badr)" w:hint="cs"/>
          <w:color w:val="0070C0"/>
          <w:sz w:val="28"/>
          <w:szCs w:val="28"/>
          <w:rtl/>
          <w:lang w:bidi="ar"/>
        </w:rPr>
        <w:t xml:space="preserve">. </w:t>
      </w:r>
    </w:p>
    <w:p w14:paraId="6B96BCD3" w14:textId="77777777" w:rsidR="0051293C" w:rsidRDefault="0051293C" w:rsidP="0051293C">
      <w:pPr>
        <w:widowControl w:val="0"/>
        <w:bidi/>
        <w:spacing w:after="0" w:line="240" w:lineRule="auto"/>
        <w:ind w:firstLine="284"/>
        <w:jc w:val="both"/>
        <w:rPr>
          <w:rFonts w:cs="Abz-2 (Badr)" w:hint="cs"/>
          <w:color w:val="0070C0"/>
          <w:sz w:val="28"/>
          <w:szCs w:val="28"/>
          <w:rtl/>
          <w:lang w:bidi="ar"/>
        </w:rPr>
      </w:pPr>
      <w:r>
        <w:rPr>
          <w:rFonts w:cs="Abz-2 (Badr)" w:hint="cs"/>
          <w:color w:val="0070C0"/>
          <w:sz w:val="28"/>
          <w:szCs w:val="28"/>
          <w:rtl/>
          <w:lang w:bidi="ar"/>
        </w:rPr>
        <w:t>والجواب: نحن لا نوجب الحبس بل نقول بالخيار في الفسخ.</w:t>
      </w:r>
    </w:p>
    <w:p w14:paraId="10D6DA73" w14:textId="77777777" w:rsidR="0051293C" w:rsidRDefault="0051293C" w:rsidP="0051293C">
      <w:pPr>
        <w:widowControl w:val="0"/>
        <w:bidi/>
        <w:spacing w:after="0" w:line="268" w:lineRule="auto"/>
        <w:ind w:firstLine="284"/>
        <w:jc w:val="both"/>
        <w:rPr>
          <w:rFonts w:cs="Abz-2 (Badr)" w:hint="cs"/>
          <w:color w:val="0070C0"/>
          <w:sz w:val="28"/>
          <w:szCs w:val="28"/>
          <w:rtl/>
          <w:lang w:bidi="ar"/>
        </w:rPr>
      </w:pPr>
      <w:r>
        <w:rPr>
          <w:rFonts w:cs="Abz-2 (Badr)" w:hint="cs"/>
          <w:color w:val="0070C0"/>
          <w:sz w:val="28"/>
          <w:szCs w:val="28"/>
          <w:rtl/>
          <w:lang w:bidi="ar"/>
        </w:rPr>
        <w:t>ونحن في ذلك من المتوقّفين.»</w:t>
      </w:r>
      <w:r>
        <w:rPr>
          <w:rStyle w:val="FootnoteReference"/>
          <w:rFonts w:cs="Abz-2 (Badr)"/>
          <w:color w:val="000000" w:themeColor="text1"/>
          <w:sz w:val="26"/>
          <w:szCs w:val="26"/>
          <w:rtl/>
          <w:lang w:bidi="fa-IR"/>
        </w:rPr>
        <w:footnoteReference w:id="19"/>
      </w:r>
    </w:p>
    <w:p w14:paraId="1D87218E"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ظاهر کلام محقق در شرائع</w:t>
      </w:r>
      <w:r>
        <w:rPr>
          <w:rStyle w:val="FootnoteReference"/>
          <w:rFonts w:cs="Abz-2 (Badr)"/>
          <w:color w:val="000000" w:themeColor="text1"/>
          <w:sz w:val="26"/>
          <w:szCs w:val="26"/>
          <w:rtl/>
          <w:lang w:bidi="fa-IR"/>
        </w:rPr>
        <w:footnoteReference w:id="20"/>
      </w:r>
      <w:r>
        <w:rPr>
          <w:rFonts w:cs="Abz-2 (Badr)" w:hint="cs"/>
          <w:color w:val="000000" w:themeColor="text1"/>
          <w:sz w:val="28"/>
          <w:szCs w:val="28"/>
          <w:rtl/>
          <w:lang w:bidi="ar"/>
        </w:rPr>
        <w:t>، صاحب مسال</w:t>
      </w:r>
      <w:r>
        <w:rPr>
          <w:rFonts w:cs="Abz-2 (Badr)" w:hint="cs"/>
          <w:color w:val="000000" w:themeColor="text1"/>
          <w:sz w:val="28"/>
          <w:szCs w:val="28"/>
          <w:rtl/>
        </w:rPr>
        <w:t>ك</w:t>
      </w:r>
      <w:r>
        <w:rPr>
          <w:rStyle w:val="FootnoteReference"/>
          <w:rFonts w:cs="Abz-2 (Badr)"/>
          <w:color w:val="000000" w:themeColor="text1"/>
          <w:sz w:val="26"/>
          <w:szCs w:val="26"/>
          <w:rtl/>
          <w:lang w:bidi="fa-IR"/>
        </w:rPr>
        <w:footnoteReference w:id="21"/>
      </w:r>
      <w:r>
        <w:rPr>
          <w:rFonts w:cs="Abz-2 (Badr)" w:hint="cs"/>
          <w:color w:val="000000" w:themeColor="text1"/>
          <w:sz w:val="28"/>
          <w:szCs w:val="28"/>
          <w:rtl/>
          <w:lang w:bidi="fa-IR"/>
        </w:rPr>
        <w:t xml:space="preserve"> </w:t>
      </w:r>
      <w:r>
        <w:rPr>
          <w:rFonts w:cs="Abz-2 (Badr)" w:hint="cs"/>
          <w:color w:val="000000" w:themeColor="text1"/>
          <w:sz w:val="28"/>
          <w:szCs w:val="28"/>
          <w:rtl/>
          <w:lang w:bidi="ar"/>
        </w:rPr>
        <w:t>و فيض کاشانی</w:t>
      </w:r>
      <w:r>
        <w:rPr>
          <w:rStyle w:val="FootnoteReference"/>
          <w:rFonts w:cs="Abz-2 (Badr)"/>
          <w:color w:val="000000" w:themeColor="text1"/>
          <w:sz w:val="26"/>
          <w:szCs w:val="26"/>
          <w:rtl/>
          <w:lang w:bidi="fa-IR"/>
        </w:rPr>
        <w:footnoteReference w:id="22"/>
      </w:r>
      <w:r>
        <w:rPr>
          <w:rFonts w:cs="Abz-2 (Badr)" w:hint="cs"/>
          <w:color w:val="000000" w:themeColor="text1"/>
          <w:sz w:val="28"/>
          <w:szCs w:val="28"/>
          <w:rtl/>
          <w:lang w:bidi="ar"/>
        </w:rPr>
        <w:t xml:space="preserve"> نيز توقف در مسأله است.</w:t>
      </w:r>
    </w:p>
    <w:p w14:paraId="641F0BC4" w14:textId="77777777" w:rsidR="0051293C" w:rsidRDefault="0051293C" w:rsidP="0051293C">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مفيد نيز در مقنعه فرموده است: </w:t>
      </w:r>
      <w:r>
        <w:rPr>
          <w:rFonts w:cs="Abz-2 (Badr)" w:hint="cs"/>
          <w:color w:val="0070C0"/>
          <w:sz w:val="28"/>
          <w:szCs w:val="28"/>
          <w:rtl/>
          <w:lang w:bidi="fa-IR"/>
        </w:rPr>
        <w:t>«</w:t>
      </w:r>
      <w:r>
        <w:rPr>
          <w:rFonts w:cs="Abz-2 (Badr)" w:hint="cs"/>
          <w:color w:val="0070C0"/>
          <w:sz w:val="28"/>
          <w:szCs w:val="28"/>
          <w:rtl/>
          <w:lang w:bidi="ar"/>
        </w:rPr>
        <w:t xml:space="preserve">ليس للحاكم أن يجبر الزوج‌ على الفراق إلا أن يمنع واجباً للزوجة من حقوق </w:t>
      </w:r>
      <w:r>
        <w:rPr>
          <w:rFonts w:cs="Abz-2 (Badr)" w:hint="cs"/>
          <w:color w:val="0070C0"/>
          <w:sz w:val="28"/>
          <w:szCs w:val="28"/>
          <w:rtl/>
          <w:lang w:bidi="ar"/>
        </w:rPr>
        <w:lastRenderedPageBreak/>
        <w:t>النكاح.»</w:t>
      </w:r>
      <w:r>
        <w:rPr>
          <w:rStyle w:val="FootnoteReference"/>
          <w:rFonts w:cs="Abz-2 (Badr)"/>
          <w:color w:val="000000" w:themeColor="text1"/>
          <w:sz w:val="26"/>
          <w:szCs w:val="26"/>
          <w:rtl/>
          <w:lang w:bidi="fa-IR"/>
        </w:rPr>
        <w:footnoteReference w:id="23"/>
      </w:r>
    </w:p>
    <w:p w14:paraId="16134D79"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ابن زهره نيز نظير اين کلام را بيان کرده است.</w:t>
      </w:r>
      <w:r>
        <w:rPr>
          <w:rStyle w:val="FootnoteReference"/>
          <w:rFonts w:cs="Abz-2 (Badr)"/>
          <w:color w:val="000000" w:themeColor="text1"/>
          <w:sz w:val="26"/>
          <w:szCs w:val="26"/>
          <w:rtl/>
          <w:lang w:bidi="fa-IR"/>
        </w:rPr>
        <w:footnoteReference w:id="24"/>
      </w:r>
    </w:p>
    <w:p w14:paraId="7D8FEAAD"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البته اين کلام دو وجه دارد؛ چنانچه مراد ايشان از «منع زوج از حقوق واجب زوجه» اين باشد که زوج عمداً چنين عملی را انجام دهد، در ما نحن فيه می</w:t>
      </w:r>
      <w:r>
        <w:rPr>
          <w:rFonts w:cs="Abz-2 (Badr)" w:hint="cs"/>
          <w:color w:val="000000" w:themeColor="text1"/>
          <w:sz w:val="28"/>
          <w:szCs w:val="28"/>
          <w:rtl/>
          <w:lang w:bidi="fa-IR"/>
        </w:rPr>
        <w:softHyphen/>
        <w:t>توان گفت که زوجه حق مطالبه طلاق ندارد، اما اگر مقصود اين باشد که زوج به هر جهتی حقوق واجبه زوجه را ادا ننمايد ولو به اين خاطر که قدرت بر آن را ندارد، در اين صورت اين کلام دلالت بر جواز مطالبه طلاق توسط زوجه خواهد داشت.</w:t>
      </w:r>
    </w:p>
    <w:p w14:paraId="152AF93E"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حلبی نيز در اين خصوص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«إ</w:t>
      </w:r>
      <w:r>
        <w:rPr>
          <w:rFonts w:cs="Abz-2 (Badr)" w:hint="cs"/>
          <w:color w:val="0070C0"/>
          <w:sz w:val="28"/>
          <w:szCs w:val="28"/>
          <w:rtl/>
          <w:lang w:bidi="ar"/>
        </w:rPr>
        <w:t>ن عجز الزوج عن القيام بحقّ الزوجة، لزمه التطليق لتصرف المرأة في نفسها.»</w:t>
      </w:r>
      <w:r>
        <w:rPr>
          <w:rStyle w:val="FootnoteReference"/>
          <w:rFonts w:cs="Abz-2 (Badr)"/>
          <w:color w:val="000000" w:themeColor="text1"/>
          <w:sz w:val="26"/>
          <w:szCs w:val="26"/>
          <w:rtl/>
          <w:lang w:bidi="fa-IR"/>
        </w:rPr>
        <w:footnoteReference w:id="25"/>
      </w:r>
    </w:p>
    <w:p w14:paraId="2CA885E2"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 ابن سعيد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المعسر أصلاً ان أنظرته إلى يساره فلها، وإن ألزمته بالطلاق طلّق.»</w:t>
      </w:r>
      <w:r>
        <w:rPr>
          <w:rStyle w:val="FootnoteReference"/>
          <w:rFonts w:cs="Abz-2 (Badr)"/>
          <w:color w:val="000000" w:themeColor="text1"/>
          <w:sz w:val="26"/>
          <w:szCs w:val="26"/>
          <w:rtl/>
          <w:lang w:bidi="fa-IR"/>
        </w:rPr>
        <w:footnoteReference w:id="26"/>
      </w:r>
    </w:p>
    <w:p w14:paraId="5824F815" w14:textId="77777777" w:rsidR="0051293C" w:rsidRDefault="0051293C" w:rsidP="0051293C">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کاشف اللثام نيز فرموده است: </w:t>
      </w:r>
      <w:r>
        <w:rPr>
          <w:rFonts w:cs="Abz-2 (Badr)" w:hint="cs"/>
          <w:color w:val="0070C0"/>
          <w:sz w:val="28"/>
          <w:szCs w:val="28"/>
          <w:rtl/>
          <w:lang w:bidi="fa-IR"/>
        </w:rPr>
        <w:t>«</w:t>
      </w:r>
      <w:r>
        <w:rPr>
          <w:rFonts w:cs="Abz-2 (Badr)" w:hint="cs"/>
          <w:color w:val="0070C0"/>
          <w:sz w:val="28"/>
          <w:szCs w:val="28"/>
          <w:rtl/>
          <w:lang w:bidi="ar"/>
        </w:rPr>
        <w:t>سلّّطها أبو علي على الفسخ. وقيل: يفسخه الحاكم، وهو قويّ، فإن لم يمكن الحاكم فسخت.»</w:t>
      </w:r>
      <w:r>
        <w:rPr>
          <w:rStyle w:val="FootnoteReference"/>
          <w:rFonts w:cs="Abz-2 (Badr)"/>
          <w:color w:val="000000" w:themeColor="text1"/>
          <w:sz w:val="26"/>
          <w:szCs w:val="26"/>
          <w:rtl/>
          <w:lang w:bidi="fa-IR"/>
        </w:rPr>
        <w:footnoteReference w:id="27"/>
      </w:r>
    </w:p>
    <w:p w14:paraId="1D4E1453"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سيد عاملی نيز قائل به جواز رجوع به حاکم برای مطالبه طلاق شده است.</w:t>
      </w:r>
      <w:r>
        <w:rPr>
          <w:rStyle w:val="FootnoteReference"/>
          <w:rFonts w:cs="Abz-2 (Badr)"/>
          <w:color w:val="000000" w:themeColor="text1"/>
          <w:sz w:val="26"/>
          <w:szCs w:val="26"/>
          <w:rtl/>
          <w:lang w:bidi="fa-IR"/>
        </w:rPr>
        <w:footnoteReference w:id="28"/>
      </w:r>
    </w:p>
    <w:p w14:paraId="576E6DB2"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محقق سبزواری</w:t>
      </w:r>
      <w:r>
        <w:rPr>
          <w:rStyle w:val="FootnoteReference"/>
          <w:rFonts w:cs="Abz-2 (Badr)"/>
          <w:color w:val="000000" w:themeColor="text1"/>
          <w:sz w:val="26"/>
          <w:szCs w:val="26"/>
          <w:rtl/>
          <w:lang w:bidi="fa-IR"/>
        </w:rPr>
        <w:footnoteReference w:id="29"/>
      </w:r>
      <w:r>
        <w:rPr>
          <w:rFonts w:cs="Abz-2 (Badr)" w:hint="cs"/>
          <w:color w:val="000000" w:themeColor="text1"/>
          <w:sz w:val="28"/>
          <w:szCs w:val="28"/>
          <w:rtl/>
          <w:lang w:bidi="fa-IR"/>
        </w:rPr>
        <w:t xml:space="preserve"> نيز قول ابن جنيد را اختيار کرده است.</w:t>
      </w:r>
    </w:p>
    <w:p w14:paraId="427332AF" w14:textId="77777777" w:rsidR="0051293C" w:rsidRDefault="0051293C" w:rsidP="0051293C">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آيت الله خوئی نيز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 xml:space="preserve">إذا تزوّجت المرأة الرجل العاجز أو طرأ العجز بعد العقد، لم يكن لها الخيار في الفسخ، لا بنفسها ولا بواسطة الحاكم، ولكن يجوز لها أن ترجع أمرها إلى الحاكم الشرعي فيأمر زوجها بالطلاق، فإن امتنع طلّقها </w:t>
      </w:r>
      <w:r>
        <w:rPr>
          <w:rFonts w:cs="Abz-2 (Badr)" w:hint="cs"/>
          <w:color w:val="0070C0"/>
          <w:sz w:val="28"/>
          <w:szCs w:val="28"/>
          <w:rtl/>
          <w:lang w:bidi="ar"/>
        </w:rPr>
        <w:lastRenderedPageBreak/>
        <w:t>الحاكم الشرعي.»</w:t>
      </w:r>
      <w:r>
        <w:rPr>
          <w:rStyle w:val="FootnoteReference"/>
          <w:rFonts w:cs="Abz-2 (Badr)"/>
          <w:color w:val="000000" w:themeColor="text1"/>
          <w:sz w:val="26"/>
          <w:szCs w:val="26"/>
          <w:rtl/>
          <w:lang w:bidi="fa-IR"/>
        </w:rPr>
        <w:footnoteReference w:id="30"/>
      </w:r>
    </w:p>
    <w:p w14:paraId="586C486D" w14:textId="77777777" w:rsidR="0051293C" w:rsidRDefault="0051293C" w:rsidP="0051293C">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آيت الله سيستانی نيز فرموده است: </w:t>
      </w:r>
      <w:r>
        <w:rPr>
          <w:rFonts w:cs="Abz-2 (Badr)" w:hint="cs"/>
          <w:color w:val="0070C0"/>
          <w:sz w:val="28"/>
          <w:szCs w:val="28"/>
          <w:rtl/>
          <w:lang w:bidi="fa-IR"/>
        </w:rPr>
        <w:t>«</w:t>
      </w:r>
      <w:r>
        <w:rPr>
          <w:rFonts w:cs="Abz-2 (Badr)" w:hint="cs"/>
          <w:color w:val="0070C0"/>
          <w:sz w:val="28"/>
          <w:szCs w:val="28"/>
          <w:rtl/>
          <w:lang w:bidi="ar"/>
        </w:rPr>
        <w:t>إذا كان الزوج غير قادر على الإنفاق على زوجته، وجب عليه طلاقها إذا لم ترض بالصبر معه. فاذا لم يفعل جاز لها أن ترفع أمرها إلى الحاكم الشرعي فيأمر الزوج بالطلاق. فإن امتنع وتعذّر إجباره عليه طلّقها الحاكم، ويقع الطلاق بائناً في الصورتين.»</w:t>
      </w:r>
      <w:r>
        <w:rPr>
          <w:rStyle w:val="FootnoteReference"/>
          <w:rFonts w:cs="Abz-2 (Badr)"/>
          <w:color w:val="000000" w:themeColor="text1"/>
          <w:sz w:val="26"/>
          <w:szCs w:val="26"/>
          <w:rtl/>
          <w:lang w:bidi="fa-IR"/>
        </w:rPr>
        <w:footnoteReference w:id="31"/>
      </w:r>
    </w:p>
    <w:p w14:paraId="4D236A2B" w14:textId="77777777" w:rsidR="0051293C" w:rsidRDefault="0051293C" w:rsidP="0051293C">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معلوم شد که پنج مبنا در مسأله وجود دارد:</w:t>
      </w:r>
    </w:p>
    <w:p w14:paraId="62ACD507" w14:textId="77777777" w:rsidR="0051293C" w:rsidRDefault="0051293C" w:rsidP="0051293C">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1 ـ عدم ثبوت حق برای زوجه. 2 ـ ثبوت حق فسخ برای زوجه. 3 ـ ثبوت حق رجوع به حاکم برای زوجه جهت مطالبه طلاق و عدم ثبوت حق فسخ برای وی. 4 ـ ثبوت حق مراجعه وی به حاکم برای مطالبه طلاق و در صورت عدم امکان، ثبوت حق فسخ برای وی. 5 ـ توقف در مسأله.</w:t>
      </w:r>
    </w:p>
    <w:p w14:paraId="1B754C7B" w14:textId="77777777" w:rsidR="0051293C" w:rsidRDefault="0051293C" w:rsidP="0051293C">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fa-IR"/>
        </w:rPr>
        <w:t xml:space="preserve">اما فخر المحقّقين در خصوص اين مسأله فرموده است: </w:t>
      </w:r>
      <w:r>
        <w:rPr>
          <w:rFonts w:cs="Abz-2 (Badr)" w:hint="cs"/>
          <w:color w:val="0070C0"/>
          <w:sz w:val="28"/>
          <w:szCs w:val="28"/>
          <w:rtl/>
          <w:lang w:bidi="fa-IR"/>
        </w:rPr>
        <w:t>«</w:t>
      </w:r>
      <w:r>
        <w:rPr>
          <w:rFonts w:cs="Abz-2 (Badr)" w:hint="cs"/>
          <w:color w:val="0070C0"/>
          <w:sz w:val="28"/>
          <w:szCs w:val="28"/>
          <w:rtl/>
          <w:lang w:bidi="ar"/>
        </w:rPr>
        <w:t>على القول بأنّ اليسار بالنفقة شرط في لزوم العقد، فمع تجدّد العجز يتسلّط على الفسخ. وأمّا على القول بالعدم، فيحتمل ذلك.»</w:t>
      </w:r>
      <w:r>
        <w:rPr>
          <w:rStyle w:val="FootnoteReference"/>
          <w:rFonts w:cs="Abz-2 (Badr)"/>
          <w:color w:val="000000" w:themeColor="text1"/>
          <w:sz w:val="26"/>
          <w:szCs w:val="26"/>
          <w:rtl/>
          <w:lang w:bidi="fa-IR"/>
        </w:rPr>
        <w:footnoteReference w:id="32"/>
      </w:r>
    </w:p>
    <w:p w14:paraId="7E03C37A" w14:textId="77777777" w:rsidR="0051293C" w:rsidRDefault="0051293C" w:rsidP="0051293C">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صيمری نيز همين مطلب را ادعا کرده است.</w:t>
      </w:r>
      <w:r>
        <w:rPr>
          <w:rStyle w:val="FootnoteReference"/>
          <w:rFonts w:cs="Abz-2 (Badr)"/>
          <w:color w:val="000000" w:themeColor="text1"/>
          <w:sz w:val="26"/>
          <w:szCs w:val="26"/>
          <w:rtl/>
          <w:lang w:bidi="fa-IR"/>
        </w:rPr>
        <w:footnoteReference w:id="33"/>
      </w:r>
    </w:p>
    <w:p w14:paraId="716F1362" w14:textId="77777777" w:rsidR="0051293C" w:rsidRDefault="0051293C" w:rsidP="0051293C">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ar"/>
        </w:rPr>
        <w:t xml:space="preserve">شهيد ثانی نيز مدعای فخرالمحقّقين را موجه دانسته و فرموده است: </w:t>
      </w:r>
      <w:r>
        <w:rPr>
          <w:rFonts w:cs="Abz-2 (Badr)" w:hint="cs"/>
          <w:color w:val="0070C0"/>
          <w:sz w:val="28"/>
          <w:szCs w:val="28"/>
          <w:rtl/>
          <w:lang w:bidi="ar"/>
        </w:rPr>
        <w:t>«هذا البناء ليس ببعيد، إلا أنّ عبارات الأصحاب مطلقة، بحيث يحتمل كون الخلاف هنا جارياً على القولين، إذ يحتمل على القول بأنّ‌ اليسار جزء من الكفاءة أن يختصّ‌ بالابتداء، ولا يلزم مثله في الاستدامة، كما في العيوب الموجبة للخيار ابتداءً ولا يثبت مع تجدّدها كما سيأتي. وعلى كلّ‌ حال فكلام فخر الدين موجّه.&gt;</w:t>
      </w:r>
      <w:r>
        <w:rPr>
          <w:rStyle w:val="FootnoteReference"/>
          <w:rFonts w:cs="Abz-2 (Badr)"/>
          <w:color w:val="000000" w:themeColor="text1"/>
          <w:sz w:val="26"/>
          <w:szCs w:val="26"/>
          <w:rtl/>
          <w:lang w:bidi="fa-IR"/>
        </w:rPr>
        <w:footnoteReference w:id="34"/>
      </w:r>
    </w:p>
    <w:p w14:paraId="4D477E60" w14:textId="77777777" w:rsidR="0051293C" w:rsidRDefault="0051293C" w:rsidP="0051293C">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معلوم نيست با وجود احتمالی که ايشان در خصوص مسأله داده</w:t>
      </w:r>
      <w:r>
        <w:rPr>
          <w:rFonts w:cs="Abz-2 (Badr)" w:hint="cs"/>
          <w:color w:val="000000" w:themeColor="text1"/>
          <w:sz w:val="28"/>
          <w:szCs w:val="28"/>
          <w:rtl/>
          <w:lang w:bidi="fa-IR"/>
        </w:rPr>
        <w:softHyphen/>
        <w:t>اند و فرموده</w:t>
      </w:r>
      <w:r>
        <w:rPr>
          <w:rFonts w:cs="Abz-2 (Badr)" w:hint="cs"/>
          <w:color w:val="000000" w:themeColor="text1"/>
          <w:sz w:val="28"/>
          <w:szCs w:val="28"/>
          <w:rtl/>
          <w:lang w:bidi="fa-IR"/>
        </w:rPr>
        <w:softHyphen/>
        <w:t xml:space="preserve">اند که استبعادی ندارد که کسی قائل </w:t>
      </w:r>
      <w:r>
        <w:rPr>
          <w:rFonts w:cs="Abz-2 (Badr)" w:hint="cs"/>
          <w:color w:val="000000" w:themeColor="text1"/>
          <w:sz w:val="28"/>
          <w:szCs w:val="28"/>
          <w:rtl/>
          <w:lang w:bidi="fa-IR"/>
        </w:rPr>
        <w:lastRenderedPageBreak/>
        <w:t>به دخالت تمکن از نفقه در ابتدای نکاح شود و در عين حال تجدّد اعسار از نفقه بعد از نکاح را مستلزم حق فسخ برای زن نداند، ديگر چه وجهی در کلام فخرالمحقّقين وجود دارد که ايشان آن را موجه می</w:t>
      </w:r>
      <w:r>
        <w:rPr>
          <w:rFonts w:cs="Abz-2 (Badr)" w:hint="cs"/>
          <w:color w:val="000000" w:themeColor="text1"/>
          <w:sz w:val="28"/>
          <w:szCs w:val="28"/>
          <w:rtl/>
          <w:lang w:bidi="fa-IR"/>
        </w:rPr>
        <w:softHyphen/>
        <w:t>دانند.</w:t>
      </w:r>
    </w:p>
    <w:p w14:paraId="4AC818BE" w14:textId="77777777" w:rsidR="0051293C" w:rsidRDefault="0051293C" w:rsidP="0051293C">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به همين جهت محقق ثانی</w:t>
      </w:r>
      <w:r>
        <w:rPr>
          <w:rStyle w:val="FootnoteReference"/>
          <w:rFonts w:cs="Abz-2 (Badr)"/>
          <w:color w:val="000000" w:themeColor="text1"/>
          <w:sz w:val="26"/>
          <w:szCs w:val="26"/>
          <w:rtl/>
          <w:lang w:bidi="fa-IR"/>
        </w:rPr>
        <w:footnoteReference w:id="35"/>
      </w:r>
      <w:r>
        <w:rPr>
          <w:rFonts w:cs="Abz-2 (Badr)" w:hint="cs"/>
          <w:color w:val="000000" w:themeColor="text1"/>
          <w:sz w:val="28"/>
          <w:szCs w:val="28"/>
          <w:rtl/>
          <w:lang w:bidi="fa-IR"/>
        </w:rPr>
        <w:t xml:space="preserve"> و صاحب جواهر</w:t>
      </w:r>
      <w:r>
        <w:rPr>
          <w:rStyle w:val="FootnoteReference"/>
          <w:rFonts w:cs="Abz-2 (Badr)"/>
          <w:color w:val="000000" w:themeColor="text1"/>
          <w:sz w:val="26"/>
          <w:szCs w:val="26"/>
          <w:rtl/>
          <w:lang w:bidi="fa-IR"/>
        </w:rPr>
        <w:footnoteReference w:id="36"/>
      </w:r>
      <w:r>
        <w:rPr>
          <w:rFonts w:cs="Abz-2 (Badr)" w:hint="cs"/>
          <w:color w:val="000000" w:themeColor="text1"/>
          <w:sz w:val="28"/>
          <w:szCs w:val="28"/>
          <w:rtl/>
          <w:lang w:bidi="fa-IR"/>
        </w:rPr>
        <w:t xml:space="preserve"> مدعای فخرالمحقّقين را قبول نکرده و خلاف در مسأله را منوط بر اين که تمکن از نفقه دخيل در کفايت در ابتدای نکاح باشد ندانسته</w:t>
      </w:r>
      <w:r>
        <w:rPr>
          <w:rFonts w:cs="Abz-2 (Badr)" w:hint="cs"/>
          <w:color w:val="000000" w:themeColor="text1"/>
          <w:sz w:val="28"/>
          <w:szCs w:val="28"/>
          <w:rtl/>
          <w:lang w:bidi="fa-IR"/>
        </w:rPr>
        <w:softHyphen/>
        <w:t>اند.</w:t>
      </w:r>
    </w:p>
    <w:p w14:paraId="796A1221" w14:textId="77777777" w:rsidR="0051293C" w:rsidRDefault="0051293C" w:rsidP="0051293C">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البته صاحب جواهر فرموده است: </w:t>
      </w:r>
      <w:r>
        <w:rPr>
          <w:rFonts w:cs="Abz-2 (Badr)" w:hint="cs"/>
          <w:color w:val="0070C0"/>
          <w:sz w:val="28"/>
          <w:szCs w:val="28"/>
          <w:rtl/>
          <w:lang w:bidi="fa-IR"/>
        </w:rPr>
        <w:t>«</w:t>
      </w:r>
      <w:r>
        <w:rPr>
          <w:rFonts w:cs="Abz-2 (Badr)" w:hint="cs"/>
          <w:color w:val="0070C0"/>
          <w:sz w:val="28"/>
          <w:szCs w:val="28"/>
          <w:rtl/>
          <w:lang w:bidi="ar"/>
        </w:rPr>
        <w:t>نعم، لا إشكال في عدم الفسخ بناءً على عدم تسلّطها عليه به لو بان قبل العقد، ضرورة أولويّة ما هنا منه بذلك كما هو واضح.»</w:t>
      </w:r>
      <w:r>
        <w:rPr>
          <w:rStyle w:val="FootnoteReference"/>
          <w:rFonts w:cs="Abz-2 (Badr)"/>
          <w:color w:val="000000" w:themeColor="text1"/>
          <w:sz w:val="26"/>
          <w:szCs w:val="26"/>
          <w:rtl/>
          <w:lang w:bidi="fa-IR"/>
        </w:rPr>
        <w:footnoteReference w:id="37"/>
      </w:r>
    </w:p>
    <w:p w14:paraId="75466569" w14:textId="77777777" w:rsidR="0051293C" w:rsidRDefault="0051293C" w:rsidP="0051293C">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مراد ايشان از تبيّن قبل از عقد نيز اين است که بعد از نکاح معلوم شود زوج از قبل از عقد معسر بوده است، نه اين که قبل از نکاح معلوم شود که زوج معسر است، چون در اين فرض فسخ معنا ندارد، و حق نيز با ايشان است.</w:t>
      </w:r>
    </w:p>
    <w:p w14:paraId="7645A145" w14:textId="418D3C0F" w:rsidR="00EF1160" w:rsidRPr="0051293C" w:rsidRDefault="00EF1160" w:rsidP="0051293C">
      <w:pPr>
        <w:rPr>
          <w:rtl/>
        </w:rPr>
      </w:pPr>
    </w:p>
    <w:sectPr w:rsidR="00EF1160" w:rsidRPr="0051293C"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84AE4" w14:textId="77777777" w:rsidR="00D8707C" w:rsidRDefault="00D8707C" w:rsidP="00F71127">
      <w:pPr>
        <w:spacing w:after="0" w:line="240" w:lineRule="auto"/>
      </w:pPr>
      <w:r>
        <w:separator/>
      </w:r>
    </w:p>
  </w:endnote>
  <w:endnote w:type="continuationSeparator" w:id="0">
    <w:p w14:paraId="43E33378" w14:textId="77777777" w:rsidR="00D8707C" w:rsidRDefault="00D8707C"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3003" w14:textId="77777777" w:rsidR="00D8707C" w:rsidRDefault="00D8707C" w:rsidP="00EE25C0">
      <w:pPr>
        <w:bidi/>
        <w:spacing w:after="0" w:line="240" w:lineRule="auto"/>
      </w:pPr>
      <w:r>
        <w:separator/>
      </w:r>
    </w:p>
  </w:footnote>
  <w:footnote w:type="continuationSeparator" w:id="0">
    <w:p w14:paraId="0281FBDE" w14:textId="77777777" w:rsidR="00D8707C" w:rsidRDefault="00D8707C" w:rsidP="00F71127">
      <w:pPr>
        <w:bidi/>
        <w:spacing w:after="0" w:line="240" w:lineRule="auto"/>
      </w:pPr>
      <w:r>
        <w:continuationSeparator/>
      </w:r>
    </w:p>
  </w:footnote>
  <w:footnote w:id="1">
    <w:p w14:paraId="28AD5CDD"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ـ البقرة(2):280.</w:t>
      </w:r>
    </w:p>
  </w:footnote>
  <w:footnote w:id="2">
    <w:p w14:paraId="1DD05D88"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النور(24):32.</w:t>
      </w:r>
    </w:p>
  </w:footnote>
  <w:footnote w:id="3">
    <w:p w14:paraId="5DA0FCAD"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کتاب الخلاف،ج5،ص117 و 118.</w:t>
      </w:r>
    </w:p>
  </w:footnote>
  <w:footnote w:id="4">
    <w:p w14:paraId="040A63A0"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المبسوط،ج6،ص21.</w:t>
      </w:r>
    </w:p>
  </w:footnote>
  <w:footnote w:id="5">
    <w:p w14:paraId="1D9C9E62"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النهاية في مجرّد الفقه والفتاوی،ص475.</w:t>
      </w:r>
    </w:p>
  </w:footnote>
  <w:footnote w:id="6">
    <w:p w14:paraId="1C74E45B"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المهذّب،ج2،ص348.</w:t>
      </w:r>
    </w:p>
  </w:footnote>
  <w:footnote w:id="7">
    <w:p w14:paraId="4B6926DD"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الوسيلة،ص286.</w:t>
      </w:r>
    </w:p>
  </w:footnote>
  <w:footnote w:id="8">
    <w:p w14:paraId="1C04C1C8"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کتاب السرائر،ج2،ص656.</w:t>
      </w:r>
    </w:p>
  </w:footnote>
  <w:footnote w:id="9">
    <w:p w14:paraId="7D8AD2CB"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إصباح الشيعة،ص445.</w:t>
      </w:r>
    </w:p>
  </w:footnote>
  <w:footnote w:id="10">
    <w:p w14:paraId="51C5BE57"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المختصر النافع،ج1،ص180.</w:t>
      </w:r>
    </w:p>
  </w:footnote>
  <w:footnote w:id="11">
    <w:p w14:paraId="2A23EE8B"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قواعد الأحکام،ج3،ص15 و 111.</w:t>
      </w:r>
    </w:p>
  </w:footnote>
  <w:footnote w:id="12">
    <w:p w14:paraId="3F83034B"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إرشاد الأذهان،ج2،ص30.</w:t>
      </w:r>
    </w:p>
  </w:footnote>
  <w:footnote w:id="13">
    <w:p w14:paraId="202221F3"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جامع المقاصد،ج12،ص138.</w:t>
      </w:r>
    </w:p>
  </w:footnote>
  <w:footnote w:id="14">
    <w:p w14:paraId="587D289D"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الحدائق الناضرة،ج24،ص80.</w:t>
      </w:r>
    </w:p>
  </w:footnote>
  <w:footnote w:id="15">
    <w:p w14:paraId="548BF7DC"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رياض المسائل،ج11،ص294.</w:t>
      </w:r>
    </w:p>
  </w:footnote>
  <w:footnote w:id="16">
    <w:p w14:paraId="18B0912F"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جواهر الکلام،ج30،ص5.</w:t>
      </w:r>
    </w:p>
  </w:footnote>
  <w:footnote w:id="17">
    <w:p w14:paraId="48BE7EE2"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مختلف الشيعة،ج7،ص326.</w:t>
      </w:r>
    </w:p>
  </w:footnote>
  <w:footnote w:id="18">
    <w:p w14:paraId="4F167087"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الشرح(94):6.</w:t>
      </w:r>
    </w:p>
  </w:footnote>
  <w:footnote w:id="19">
    <w:p w14:paraId="2AE7CF60"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مختلف الشيعة،ج7،ص327.</w:t>
      </w:r>
    </w:p>
  </w:footnote>
  <w:footnote w:id="20">
    <w:p w14:paraId="1A0B51AC"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شرائع الإسلام،ج2،ص244.</w:t>
      </w:r>
    </w:p>
  </w:footnote>
  <w:footnote w:id="21">
    <w:p w14:paraId="3F48E503"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مسالك الأفهام،ج7،ص407 و 408.</w:t>
      </w:r>
    </w:p>
  </w:footnote>
  <w:footnote w:id="22">
    <w:p w14:paraId="6A868066"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مفاتيح الشرائع،ج2،ص196.</w:t>
      </w:r>
    </w:p>
  </w:footnote>
  <w:footnote w:id="23">
    <w:p w14:paraId="44F8C0DD"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المقنعة،ص519.</w:t>
      </w:r>
    </w:p>
  </w:footnote>
  <w:footnote w:id="24">
    <w:p w14:paraId="160BC923"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غنية النزوع،ج2،ص353.</w:t>
      </w:r>
    </w:p>
  </w:footnote>
  <w:footnote w:id="25">
    <w:p w14:paraId="5D2FF7F0"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الکافي في الفقه،ص177.</w:t>
      </w:r>
    </w:p>
  </w:footnote>
  <w:footnote w:id="26">
    <w:p w14:paraId="1447A32F"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الجامع للشرائع،ص488.</w:t>
      </w:r>
    </w:p>
  </w:footnote>
  <w:footnote w:id="27">
    <w:p w14:paraId="1B4BF241"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کشف اللثام،ج7،ص91.</w:t>
      </w:r>
    </w:p>
  </w:footnote>
  <w:footnote w:id="28">
    <w:p w14:paraId="4B997996"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نهاية المرام،ج1،ص206.</w:t>
      </w:r>
    </w:p>
  </w:footnote>
  <w:footnote w:id="29">
    <w:p w14:paraId="59DA3E64"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کفاية الفقه،ج2،ص158.</w:t>
      </w:r>
    </w:p>
  </w:footnote>
  <w:footnote w:id="30">
    <w:p w14:paraId="2498666F"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منهاج الصالحين،ج2،ص288 و 289، مسألة 1406.</w:t>
      </w:r>
    </w:p>
  </w:footnote>
  <w:footnote w:id="31">
    <w:p w14:paraId="059E7D94"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منهاج الصالحين،ج3،ص108، مسألة 356.</w:t>
      </w:r>
    </w:p>
  </w:footnote>
  <w:footnote w:id="32">
    <w:p w14:paraId="2C4454A8"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إيضاح الفوائد،ج3،ص24.</w:t>
      </w:r>
    </w:p>
  </w:footnote>
  <w:footnote w:id="33">
    <w:p w14:paraId="54708C38"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غاية المرام،ج3،ص78.</w:t>
      </w:r>
    </w:p>
  </w:footnote>
  <w:footnote w:id="34">
    <w:p w14:paraId="7CC01C5A"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 xml:space="preserve">مسالك </w:t>
      </w:r>
      <w:r>
        <w:rPr>
          <w:rFonts w:cs="Abz-2 (Badr)" w:hint="cs"/>
          <w:rtl/>
          <w:lang w:bidi="fa-IR"/>
        </w:rPr>
        <w:t>الأفهام</w:t>
      </w:r>
      <w:r>
        <w:rPr>
          <w:rFonts w:cs="Abz-2 (Badr)" w:hint="cs"/>
          <w:rtl/>
        </w:rPr>
        <w:t>،ج7،ص408.</w:t>
      </w:r>
    </w:p>
  </w:footnote>
  <w:footnote w:id="35">
    <w:p w14:paraId="710CAAFE"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جامع المقاصد،ج12،ص138.</w:t>
      </w:r>
    </w:p>
  </w:footnote>
  <w:footnote w:id="36">
    <w:p w14:paraId="0E08CDAF"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جواهر الکلام،ج30،ص106.</w:t>
      </w:r>
    </w:p>
  </w:footnote>
  <w:footnote w:id="37">
    <w:p w14:paraId="02C76C59" w14:textId="77777777" w:rsidR="0051293C" w:rsidRDefault="0051293C" w:rsidP="0051293C">
      <w:pPr>
        <w:pStyle w:val="FootnoteText"/>
        <w:bidi/>
        <w:rPr>
          <w:rFonts w:cs="Abz-2 (Badr)" w:hint="cs"/>
          <w:rtl/>
          <w:lang w:bidi="fa-IR"/>
        </w:rPr>
      </w:pPr>
      <w:r>
        <w:rPr>
          <w:rStyle w:val="FootnoteReference"/>
          <w:rFonts w:cs="Abz-2 (Badr)"/>
        </w:rPr>
        <w:footnoteRef/>
      </w:r>
      <w:r>
        <w:rPr>
          <w:rFonts w:cs="Abz-2 (Badr)"/>
        </w:rPr>
        <w:t xml:space="preserve"> </w:t>
      </w:r>
      <w:r>
        <w:rPr>
          <w:rFonts w:cs="Abz-2 (Badr)" w:hint="cs"/>
          <w:rtl/>
        </w:rPr>
        <w:t xml:space="preserve">ـ </w:t>
      </w:r>
      <w:r>
        <w:rPr>
          <w:rFonts w:cs="Abz-2 (Badr)" w:hint="cs"/>
          <w:rtl/>
        </w:rPr>
        <w:t>جواهر الکلام، همان.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186B2284"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51293C">
                            <w:rPr>
                              <w:rFonts w:cs="B Mehr" w:hint="cs"/>
                              <w:rtl/>
                              <w:lang w:bidi="fa-IR"/>
                            </w:rPr>
                            <w:t xml:space="preserve"> </w:t>
                          </w:r>
                          <w:r w:rsidR="00EF1160">
                            <w:rPr>
                              <w:rFonts w:cs="B Mehr" w:hint="cs"/>
                              <w:rtl/>
                              <w:lang w:bidi="fa-IR"/>
                            </w:rPr>
                            <w:t xml:space="preserve">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51293C">
                            <w:rPr>
                              <w:rFonts w:cs="B Mehr" w:hint="cs"/>
                              <w:rtl/>
                              <w:lang w:bidi="fa-IR"/>
                            </w:rPr>
                            <w:t xml:space="preserve">12 </w:t>
                          </w:r>
                          <w:r w:rsidR="00EF1160">
                            <w:rPr>
                              <w:rFonts w:cs="B Mehr" w:hint="cs"/>
                              <w:rtl/>
                              <w:lang w:bidi="fa-IR"/>
                            </w:rPr>
                            <w:t xml:space="preserve">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186B2284"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51293C">
                      <w:rPr>
                        <w:rFonts w:cs="B Mehr" w:hint="cs"/>
                        <w:rtl/>
                        <w:lang w:bidi="fa-IR"/>
                      </w:rPr>
                      <w:t xml:space="preserve"> </w:t>
                    </w:r>
                    <w:r w:rsidR="00EF1160">
                      <w:rPr>
                        <w:rFonts w:cs="B Mehr" w:hint="cs"/>
                        <w:rtl/>
                        <w:lang w:bidi="fa-IR"/>
                      </w:rPr>
                      <w:t xml:space="preserve">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51293C">
                      <w:rPr>
                        <w:rFonts w:cs="B Mehr" w:hint="cs"/>
                        <w:rtl/>
                        <w:lang w:bidi="fa-IR"/>
                      </w:rPr>
                      <w:t xml:space="preserve">12 </w:t>
                    </w:r>
                    <w:r w:rsidR="00EF1160">
                      <w:rPr>
                        <w:rFonts w:cs="B Mehr" w:hint="cs"/>
                        <w:rtl/>
                        <w:lang w:bidi="fa-IR"/>
                      </w:rPr>
                      <w:t xml:space="preserve">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256"/>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3B68"/>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8A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293C"/>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77C"/>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59D5"/>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462"/>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1E81"/>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18F"/>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2FE"/>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9F6"/>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4FE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4DB8"/>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7C"/>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C7D63"/>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1160"/>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89635687">
      <w:bodyDiv w:val="1"/>
      <w:marLeft w:val="0"/>
      <w:marRight w:val="0"/>
      <w:marTop w:val="0"/>
      <w:marBottom w:val="0"/>
      <w:divBdr>
        <w:top w:val="none" w:sz="0" w:space="0" w:color="auto"/>
        <w:left w:val="none" w:sz="0" w:space="0" w:color="auto"/>
        <w:bottom w:val="none" w:sz="0" w:space="0" w:color="auto"/>
        <w:right w:val="none" w:sz="0" w:space="0" w:color="auto"/>
      </w:divBdr>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6735655">
      <w:bodyDiv w:val="1"/>
      <w:marLeft w:val="0"/>
      <w:marRight w:val="0"/>
      <w:marTop w:val="0"/>
      <w:marBottom w:val="0"/>
      <w:divBdr>
        <w:top w:val="none" w:sz="0" w:space="0" w:color="auto"/>
        <w:left w:val="none" w:sz="0" w:space="0" w:color="auto"/>
        <w:bottom w:val="none" w:sz="0" w:space="0" w:color="auto"/>
        <w:right w:val="none" w:sz="0" w:space="0" w:color="auto"/>
      </w:divBdr>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0971627">
      <w:bodyDiv w:val="1"/>
      <w:marLeft w:val="0"/>
      <w:marRight w:val="0"/>
      <w:marTop w:val="0"/>
      <w:marBottom w:val="0"/>
      <w:divBdr>
        <w:top w:val="none" w:sz="0" w:space="0" w:color="auto"/>
        <w:left w:val="none" w:sz="0" w:space="0" w:color="auto"/>
        <w:bottom w:val="none" w:sz="0" w:space="0" w:color="auto"/>
        <w:right w:val="none" w:sz="0" w:space="0" w:color="auto"/>
      </w:divBdr>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499489">
      <w:bodyDiv w:val="1"/>
      <w:marLeft w:val="0"/>
      <w:marRight w:val="0"/>
      <w:marTop w:val="0"/>
      <w:marBottom w:val="0"/>
      <w:divBdr>
        <w:top w:val="none" w:sz="0" w:space="0" w:color="auto"/>
        <w:left w:val="none" w:sz="0" w:space="0" w:color="auto"/>
        <w:bottom w:val="none" w:sz="0" w:space="0" w:color="auto"/>
        <w:right w:val="none" w:sz="0" w:space="0" w:color="auto"/>
      </w:divBdr>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4296292">
      <w:bodyDiv w:val="1"/>
      <w:marLeft w:val="0"/>
      <w:marRight w:val="0"/>
      <w:marTop w:val="0"/>
      <w:marBottom w:val="0"/>
      <w:divBdr>
        <w:top w:val="none" w:sz="0" w:space="0" w:color="auto"/>
        <w:left w:val="none" w:sz="0" w:space="0" w:color="auto"/>
        <w:bottom w:val="none" w:sz="0" w:space="0" w:color="auto"/>
        <w:right w:val="none" w:sz="0" w:space="0" w:color="auto"/>
      </w:divBdr>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5238555">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306833">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21763</TotalTime>
  <Pages>1</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751</cp:revision>
  <cp:lastPrinted>2025-04-14T09:12:00Z</cp:lastPrinted>
  <dcterms:created xsi:type="dcterms:W3CDTF">2022-10-16T08:36:00Z</dcterms:created>
  <dcterms:modified xsi:type="dcterms:W3CDTF">2026-05-24T14:05:00Z</dcterms:modified>
</cp:coreProperties>
</file>