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A4CD8" w14:textId="77777777" w:rsidR="0081718F" w:rsidRDefault="0081718F" w:rsidP="0081718F">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50F2C3D3" w14:textId="77777777" w:rsidR="0081718F" w:rsidRDefault="0081718F" w:rsidP="0081718F">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0C4F48D4" w14:textId="77777777" w:rsidR="0081718F" w:rsidRDefault="0081718F" w:rsidP="0081718F">
      <w:pPr>
        <w:widowControl w:val="0"/>
        <w:bidi/>
        <w:spacing w:after="0"/>
        <w:jc w:val="center"/>
        <w:rPr>
          <w:rFonts w:cs="B Mitra" w:hint="cs"/>
          <w:b/>
          <w:bCs/>
          <w:sz w:val="32"/>
          <w:szCs w:val="32"/>
          <w:rtl/>
          <w:lang w:bidi="fa-IR"/>
        </w:rPr>
      </w:pPr>
      <w:r>
        <w:rPr>
          <w:rFonts w:cs="B Mitra" w:hint="cs"/>
          <w:b/>
          <w:bCs/>
          <w:sz w:val="32"/>
          <w:szCs w:val="32"/>
          <w:rtl/>
          <w:lang w:bidi="fa-IR"/>
        </w:rPr>
        <w:t>جلسه 924</w:t>
      </w:r>
    </w:p>
    <w:p w14:paraId="58A991F4" w14:textId="77777777" w:rsidR="0081718F" w:rsidRDefault="0081718F" w:rsidP="0081718F">
      <w:pPr>
        <w:widowControl w:val="0"/>
        <w:bidi/>
        <w:spacing w:after="0"/>
        <w:ind w:firstLine="284"/>
        <w:jc w:val="both"/>
        <w:rPr>
          <w:rFonts w:cs="Abz-2 (Badr)" w:hint="cs"/>
          <w:color w:val="000000" w:themeColor="text1"/>
          <w:sz w:val="28"/>
          <w:szCs w:val="28"/>
          <w:rtl/>
          <w:lang w:bidi="fa-IR"/>
        </w:rPr>
      </w:pPr>
      <w:bookmarkStart w:id="0" w:name="_Hlk159096966"/>
    </w:p>
    <w:p w14:paraId="7C512C88" w14:textId="77777777" w:rsidR="0081718F" w:rsidRDefault="0081718F" w:rsidP="0081718F">
      <w:pPr>
        <w:widowControl w:val="0"/>
        <w:bidi/>
        <w:spacing w:after="0"/>
        <w:ind w:firstLine="284"/>
        <w:jc w:val="both"/>
        <w:rPr>
          <w:rFonts w:cs="Abz-2 (Badr)" w:hint="cs"/>
          <w:color w:val="C45911" w:themeColor="accent2" w:themeShade="BF"/>
          <w:sz w:val="28"/>
          <w:szCs w:val="28"/>
          <w:rtl/>
          <w:lang w:bidi="fa-IR"/>
        </w:rPr>
      </w:pPr>
    </w:p>
    <w:bookmarkEnd w:id="0"/>
    <w:p w14:paraId="51265704" w14:textId="77777777" w:rsidR="0081718F" w:rsidRDefault="0081718F" w:rsidP="0081718F">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بحث در وجوب پاسخ مثبت به خواستگار و توجيه اخباری بود که در اين خصوص وارد شده</w:t>
      </w:r>
      <w:r>
        <w:rPr>
          <w:rFonts w:cs="Abz-2 (Badr)" w:hint="cs"/>
          <w:color w:val="000000" w:themeColor="text1"/>
          <w:sz w:val="28"/>
          <w:szCs w:val="28"/>
          <w:rtl/>
          <w:lang w:bidi="fa-IR"/>
        </w:rPr>
        <w:softHyphen/>
        <w:t>اند.</w:t>
      </w:r>
    </w:p>
    <w:p w14:paraId="46E506CD" w14:textId="77777777" w:rsidR="0081718F" w:rsidRDefault="0081718F" w:rsidP="0081718F">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محدث بحرانی فرموده است: </w:t>
      </w:r>
      <w:r>
        <w:rPr>
          <w:rFonts w:cs="Abz-2 (Badr)" w:hint="cs"/>
          <w:color w:val="0070C0"/>
          <w:sz w:val="28"/>
          <w:szCs w:val="28"/>
          <w:rtl/>
          <w:lang w:bidi="fa-IR"/>
        </w:rPr>
        <w:t xml:space="preserve">«يمكن أن يناقش في دلالة الأمر على الوجوب هنا، حيث إنّ الظاهر من السياق كونه للإباحة، ولا ينافي ذلك </w:t>
      </w:r>
      <w:r>
        <w:rPr>
          <w:rFonts w:cs="QuranTaha" w:hint="cs"/>
          <w:color w:val="BF8F00" w:themeColor="accent4" w:themeShade="BF"/>
          <w:sz w:val="26"/>
          <w:szCs w:val="26"/>
          <w:rtl/>
          <w:lang w:bidi="ar-IQ"/>
        </w:rPr>
        <w:t>«إِلَّا تَفْعَلُوهُ تَكُنْ فِتْنَةٌ فِی الْأَرْضِ وَفَسَادٌ كَبِيرٌ»</w:t>
      </w:r>
      <w:r>
        <w:rPr>
          <w:rFonts w:cs="Abz-2 (Badr)" w:hint="cs"/>
          <w:color w:val="0070C0"/>
          <w:sz w:val="28"/>
          <w:szCs w:val="28"/>
          <w:rtl/>
          <w:lang w:bidi="fa-IR"/>
        </w:rPr>
        <w:t>، إذ الظاهر أنّ المراد أنّه إذا حصل الامتناع من الإجابة لكون المخاطب حقيراً في نسبة لا لغيره من الأغراض، فإنّه يترتّب على ذلك الفساد أو الفتنة من نحو التفاخر بالعشائر والمباهاة بالتكاثر كما في زمن الجاهليّة وما يترتّب على ذلك من القبائح الخارجة عن جادّة الدين.»</w:t>
      </w:r>
      <w:r>
        <w:rPr>
          <w:rStyle w:val="FootnoteReference"/>
          <w:rFonts w:cs="Abz-2 (Badr)"/>
          <w:color w:val="000000" w:themeColor="text1"/>
          <w:sz w:val="28"/>
          <w:szCs w:val="28"/>
          <w:rtl/>
          <w:lang w:bidi="ar"/>
        </w:rPr>
        <w:footnoteReference w:id="1"/>
      </w:r>
      <w:r>
        <w:rPr>
          <w:rFonts w:cs="Abz-2 (Badr)" w:hint="cs"/>
          <w:color w:val="000000" w:themeColor="text1"/>
          <w:sz w:val="28"/>
          <w:szCs w:val="28"/>
          <w:lang w:bidi="fa-IR"/>
        </w:rPr>
        <w:t>‌</w:t>
      </w:r>
    </w:p>
    <w:p w14:paraId="5B42B1D9" w14:textId="77777777" w:rsidR="0081718F" w:rsidRDefault="0081718F" w:rsidP="0081718F">
      <w:pPr>
        <w:widowControl w:val="0"/>
        <w:bidi/>
        <w:spacing w:after="0" w:line="252" w:lineRule="auto"/>
        <w:ind w:firstLine="284"/>
        <w:jc w:val="both"/>
        <w:rPr>
          <w:rFonts w:cs="Abz-2 (Badr)"/>
          <w:color w:val="0070C0"/>
          <w:sz w:val="28"/>
          <w:szCs w:val="28"/>
          <w:lang w:bidi="fa-IR"/>
        </w:rPr>
      </w:pPr>
      <w:r>
        <w:rPr>
          <w:rFonts w:cs="Abz-2 (Badr)" w:hint="cs"/>
          <w:color w:val="000000" w:themeColor="text1"/>
          <w:sz w:val="28"/>
          <w:szCs w:val="28"/>
          <w:rtl/>
          <w:lang w:bidi="fa-IR"/>
        </w:rPr>
        <w:t>صاحب جواهر نيز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«دعوى وجوب الإجابة عليها للخاصّ بعد فرض عزمها على أصل النكاح لا دليل عليها، بل السيرة المستمرّة على خلافها، وربما كان في تعليق الأمر على رضاها إشارة إلى عدم وجوب الإجابة عليها.</w:t>
      </w:r>
    </w:p>
    <w:p w14:paraId="28ADC7B2" w14:textId="77777777" w:rsidR="0081718F" w:rsidRDefault="0081718F" w:rsidP="0081718F">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fa-IR"/>
        </w:rPr>
        <w:t xml:space="preserve">والأمر في النصوص السابقة بتزويج من يرضى دينه وخلقه إنّما هو للأولياء العرفيّين بمعنى عدم مشروعيّة الامتناع من حيث الحسب والنسب والشرف والغناء والعظمة ونحو ذلك ممّا كان مستعملاً للعرب في الجاهليّة، وكذا قوله تعالى: </w:t>
      </w:r>
      <w:r>
        <w:rPr>
          <w:rFonts w:cs="QuranTaha" w:hint="cs"/>
          <w:color w:val="BF8F00" w:themeColor="accent4" w:themeShade="BF"/>
          <w:sz w:val="26"/>
          <w:szCs w:val="26"/>
          <w:rtl/>
          <w:lang w:bidi="ar-IQ"/>
        </w:rPr>
        <w:t>«وَأَنْكِحُوا الْأَيٰامىٰ»</w:t>
      </w:r>
      <w:r>
        <w:rPr>
          <w:rStyle w:val="FootnoteReference"/>
          <w:rFonts w:cs="Abz-2 (Badr)"/>
          <w:color w:val="000000" w:themeColor="text1"/>
          <w:sz w:val="28"/>
          <w:szCs w:val="28"/>
          <w:rtl/>
          <w:lang w:bidi="ar"/>
        </w:rPr>
        <w:footnoteReference w:id="2"/>
      </w:r>
      <w:r>
        <w:rPr>
          <w:rFonts w:cs="Abz-2 (Badr)" w:hint="cs"/>
          <w:color w:val="000000" w:themeColor="text1"/>
          <w:sz w:val="28"/>
          <w:szCs w:val="28"/>
          <w:lang w:bidi="fa-IR"/>
        </w:rPr>
        <w:t>‌</w:t>
      </w:r>
      <w:r>
        <w:rPr>
          <w:rFonts w:cs="Abz-2 (Badr)" w:hint="cs"/>
          <w:color w:val="000000" w:themeColor="text1"/>
          <w:sz w:val="28"/>
          <w:szCs w:val="28"/>
          <w:rtl/>
          <w:lang w:bidi="fa-IR"/>
        </w:rPr>
        <w:t xml:space="preserve"> </w:t>
      </w:r>
      <w:r>
        <w:rPr>
          <w:rFonts w:cs="Abz-2 (Badr)" w:hint="cs"/>
          <w:color w:val="0070C0"/>
          <w:sz w:val="28"/>
          <w:szCs w:val="28"/>
          <w:rtl/>
          <w:lang w:bidi="fa-IR"/>
        </w:rPr>
        <w:t>إلى آخرها.</w:t>
      </w:r>
    </w:p>
    <w:p w14:paraId="2DD2C6CA" w14:textId="77777777" w:rsidR="0081718F" w:rsidRDefault="0081718F" w:rsidP="0081718F">
      <w:pPr>
        <w:widowControl w:val="0"/>
        <w:bidi/>
        <w:spacing w:after="0" w:line="252" w:lineRule="auto"/>
        <w:ind w:firstLine="284"/>
        <w:jc w:val="both"/>
        <w:rPr>
          <w:rFonts w:cs="Abz-2 (Badr)"/>
          <w:color w:val="0070C0"/>
          <w:sz w:val="28"/>
          <w:szCs w:val="28"/>
          <w:lang w:bidi="fa-IR"/>
        </w:rPr>
      </w:pPr>
      <w:r>
        <w:rPr>
          <w:rFonts w:cs="Abz-2 (Badr)" w:hint="cs"/>
          <w:color w:val="0070C0"/>
          <w:sz w:val="28"/>
          <w:szCs w:val="28"/>
          <w:rtl/>
          <w:lang w:bidi="fa-IR"/>
        </w:rPr>
        <w:t xml:space="preserve">أو أنّ المراد به عدم جواز الامتناع منهم بعد فرض رضا المخطوبة ولو بقرائن الأحوال مع تأدية امتناعه إلى عدم وقوع النكاح ولو للعادة بعدم استقلال البنت في أمرها رغباً ورهباً في وليّها ومنه، أو نحو ذلك ممّا لا يقتضي الوجوب على من </w:t>
      </w:r>
      <w:r>
        <w:rPr>
          <w:rFonts w:cs="Abz-2 (Badr)" w:hint="cs"/>
          <w:color w:val="0070C0"/>
          <w:sz w:val="28"/>
          <w:szCs w:val="28"/>
          <w:rtl/>
          <w:lang w:bidi="fa-IR"/>
        </w:rPr>
        <w:lastRenderedPageBreak/>
        <w:t>بيده عقدة النكاح من الوليّ أو المخطوبة من حيث خطبة المؤمن القادر على النفقة.»</w:t>
      </w:r>
      <w:r>
        <w:rPr>
          <w:rStyle w:val="FootnoteReference"/>
          <w:rFonts w:cs="Abz-2 (Badr)"/>
          <w:color w:val="000000" w:themeColor="text1"/>
          <w:sz w:val="28"/>
          <w:szCs w:val="28"/>
          <w:rtl/>
          <w:lang w:bidi="ar"/>
        </w:rPr>
        <w:footnoteReference w:id="3"/>
      </w:r>
      <w:r>
        <w:rPr>
          <w:rFonts w:cs="Abz-2 (Badr)" w:hint="cs"/>
          <w:color w:val="000000" w:themeColor="text1"/>
          <w:sz w:val="28"/>
          <w:szCs w:val="28"/>
          <w:lang w:bidi="fa-IR"/>
        </w:rPr>
        <w:t>‌</w:t>
      </w:r>
    </w:p>
    <w:p w14:paraId="0A210608" w14:textId="77777777" w:rsidR="0081718F" w:rsidRDefault="0081718F" w:rsidP="0081718F">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حق نيز اين است که آنچه اين بزرگواران فرموده</w:t>
      </w:r>
      <w:r>
        <w:rPr>
          <w:rFonts w:cs="Abz-2 (Badr)" w:hint="cs"/>
          <w:color w:val="000000" w:themeColor="text1"/>
          <w:sz w:val="28"/>
          <w:szCs w:val="28"/>
          <w:cs/>
          <w:lang w:bidi="fa-IR"/>
        </w:rPr>
        <w:t>‎</w:t>
      </w:r>
      <w:r>
        <w:rPr>
          <w:rFonts w:cs="Abz-2 (Badr)" w:hint="cs"/>
          <w:color w:val="000000" w:themeColor="text1"/>
          <w:sz w:val="28"/>
          <w:szCs w:val="28"/>
          <w:rtl/>
          <w:lang w:bidi="fa-IR"/>
        </w:rPr>
        <w:t>اند، صحيح و مطابق با اعتبار است و وجهی برای قول به وجوب قبول خواستگار بر ولی وجود ندارد. بله، ولی حق ندارد که بدون دليل و بدون مراعات مصلحت مولی عليه، منع از نکاح داشته باشد، زيرا اين مطلب خارج از حيطه ولايت اوست و حمل اخبار بر اين صورت حمل موجهی است.</w:t>
      </w:r>
    </w:p>
    <w:p w14:paraId="2FF121CC" w14:textId="77777777" w:rsidR="0081718F" w:rsidRDefault="0081718F" w:rsidP="0081718F">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بنابر اين وجهی وجود ندارد که عدم تمکن زوج از نفقه را مجوّز رد درخواست او برای نکاح بدانيم.</w:t>
      </w:r>
    </w:p>
    <w:p w14:paraId="50AA4E20"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کسانی که قائل به عدم اشتراط تمکن زوج از نفقه در کفايت شده</w:t>
      </w:r>
      <w:r>
        <w:rPr>
          <w:rFonts w:cs="Abz-2 (Badr)" w:hint="cs"/>
          <w:color w:val="000000" w:themeColor="text1"/>
          <w:sz w:val="28"/>
          <w:szCs w:val="28"/>
          <w:rtl/>
          <w:lang w:bidi="fa-IR"/>
        </w:rPr>
        <w:softHyphen/>
        <w:t>اند، به ادله</w:t>
      </w:r>
      <w:r>
        <w:rPr>
          <w:rFonts w:cs="Abz-2 (Badr)" w:hint="cs"/>
          <w:color w:val="000000" w:themeColor="text1"/>
          <w:sz w:val="28"/>
          <w:szCs w:val="28"/>
          <w:rtl/>
          <w:lang w:bidi="fa-IR"/>
        </w:rPr>
        <w:softHyphen/>
        <w:t>ای تمسّک کرده</w:t>
      </w:r>
      <w:r>
        <w:rPr>
          <w:rFonts w:cs="Abz-2 (Badr)" w:hint="cs"/>
          <w:color w:val="000000" w:themeColor="text1"/>
          <w:sz w:val="28"/>
          <w:szCs w:val="28"/>
          <w:rtl/>
          <w:lang w:bidi="fa-IR"/>
        </w:rPr>
        <w:softHyphen/>
        <w:t>اند.</w:t>
      </w:r>
    </w:p>
    <w:p w14:paraId="3083F240"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B050"/>
          <w:sz w:val="28"/>
          <w:szCs w:val="28"/>
          <w:rtl/>
          <w:lang w:bidi="fa-IR"/>
        </w:rPr>
        <w:t xml:space="preserve">1 ـ </w:t>
      </w:r>
      <w:r>
        <w:rPr>
          <w:rFonts w:cs="Abz-2 (Badr)" w:hint="cs"/>
          <w:color w:val="000000" w:themeColor="text1"/>
          <w:sz w:val="28"/>
          <w:szCs w:val="28"/>
          <w:rtl/>
          <w:lang w:bidi="fa-IR"/>
        </w:rPr>
        <w:t xml:space="preserve">آيه شريفه: </w:t>
      </w:r>
      <w:r>
        <w:rPr>
          <w:rFonts w:cs="QuranTaha" w:hint="cs"/>
          <w:color w:val="BF8F00" w:themeColor="accent4" w:themeShade="BF"/>
          <w:sz w:val="26"/>
          <w:szCs w:val="26"/>
          <w:rtl/>
          <w:lang w:bidi="fa-IR"/>
        </w:rPr>
        <w:t>«</w:t>
      </w:r>
      <w:r>
        <w:rPr>
          <w:rFonts w:cs="QuranTaha" w:hint="cs"/>
          <w:color w:val="BF8F00" w:themeColor="accent4" w:themeShade="BF"/>
          <w:sz w:val="26"/>
          <w:szCs w:val="26"/>
          <w:rtl/>
          <w:lang w:bidi="ar-IQ"/>
        </w:rPr>
        <w:t>وَأَنْك</w:t>
      </w:r>
      <w:r>
        <w:rPr>
          <w:rFonts w:cs="QuranTaha" w:hint="cs"/>
          <w:color w:val="BF8F00" w:themeColor="accent4" w:themeShade="BF"/>
          <w:sz w:val="26"/>
          <w:szCs w:val="26"/>
          <w:rtl/>
          <w:lang w:bidi="fa-IR"/>
        </w:rPr>
        <w:t>ـ</w:t>
      </w:r>
      <w:r>
        <w:rPr>
          <w:rFonts w:cs="QuranTaha" w:hint="cs"/>
          <w:color w:val="BF8F00" w:themeColor="accent4" w:themeShade="BF"/>
          <w:sz w:val="26"/>
          <w:szCs w:val="26"/>
          <w:rtl/>
          <w:lang w:bidi="ar-IQ"/>
        </w:rPr>
        <w:t>ِحُوا الْأَيَامَىٰ مِنْكُمْ وَالصَّالِحِينَ مِنْ عِبَادِكُمْ وَإِمَائِكُمْ إِنْ يَكُونُوا فُقَرَاءَ يُغْنِهِمُ اللَّهُ مِنْ فَضْلِهِ وَاللَّهُ وَاسِعٌ عَلِيمٌ</w:t>
      </w:r>
      <w:r>
        <w:rPr>
          <w:rFonts w:cs="QuranTaha" w:hint="cs"/>
          <w:color w:val="BF8F00" w:themeColor="accent4" w:themeShade="BF"/>
          <w:sz w:val="26"/>
          <w:szCs w:val="26"/>
          <w:rtl/>
          <w:lang w:bidi="fa-IR"/>
        </w:rPr>
        <w:t>»</w:t>
      </w:r>
      <w:r>
        <w:rPr>
          <w:rStyle w:val="FootnoteReference"/>
          <w:rFonts w:cs="Abz-2 (Badr)"/>
          <w:color w:val="000000" w:themeColor="text1"/>
          <w:sz w:val="28"/>
          <w:szCs w:val="28"/>
          <w:rtl/>
          <w:lang w:bidi="ar"/>
        </w:rPr>
        <w:footnoteReference w:id="4"/>
      </w:r>
      <w:r>
        <w:rPr>
          <w:rFonts w:cs="Abz-2 (Badr)" w:hint="cs"/>
          <w:color w:val="000000" w:themeColor="text1"/>
          <w:sz w:val="28"/>
          <w:szCs w:val="28"/>
          <w:rtl/>
          <w:lang w:bidi="fa-IR"/>
        </w:rPr>
        <w:t>‌.</w:t>
      </w:r>
    </w:p>
    <w:p w14:paraId="50F145CF"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آيه شريفه دلالت تام بر اين مطلب دارد که فقر زوج، مانع از نکاح وی نيست و نمی</w:t>
      </w:r>
      <w:r>
        <w:rPr>
          <w:rFonts w:cs="Abz-2 (Badr)" w:hint="cs"/>
          <w:color w:val="000000" w:themeColor="text1"/>
          <w:sz w:val="28"/>
          <w:szCs w:val="28"/>
          <w:rtl/>
          <w:lang w:bidi="fa-IR"/>
        </w:rPr>
        <w:softHyphen/>
        <w:t>توان حکم به فساد نکاح به اين واسطه نمود.</w:t>
      </w:r>
    </w:p>
    <w:p w14:paraId="530FF7C1"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البته قول کسانی که قائل به جواز فسخ نکاح در صورت تبيّن عدم تمکّن زوج از نفقه شده</w:t>
      </w:r>
      <w:r>
        <w:rPr>
          <w:rFonts w:cs="Abz-2 (Badr)" w:hint="cs"/>
          <w:color w:val="000000" w:themeColor="text1"/>
          <w:sz w:val="28"/>
          <w:szCs w:val="28"/>
          <w:rtl/>
          <w:lang w:bidi="fa-IR"/>
        </w:rPr>
        <w:softHyphen/>
        <w:t>اند، منافاتی با اين آيه ندارد، زيرا امر به انکاح به فقراء منافاتی با جواز فسخ در صورت عدم علم به فقر ندارد.</w:t>
      </w:r>
    </w:p>
    <w:p w14:paraId="26A093FC"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اگر گفته شود: لازمه امر به انکاح ولو در صورت فقير بودن زوج اين است که علم و جهل به اين مطلب حقی برای زوجه ايجاد ننمايد.</w:t>
      </w:r>
    </w:p>
    <w:p w14:paraId="795A0176"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پاسخ اين است که امر موجود در آيه شريفه، خطاب به اولياء است نه به زنان، و امر به اولياء مبنی بر انکاح دختران به فقراء منافاتی با اين مطلب ندارد که زوجه قبول نکند که با فقير ازدواج کند و در صورت جهل به فقر زوج، حق فسخ نکاح را داشته باشد.</w:t>
      </w:r>
    </w:p>
    <w:p w14:paraId="0CF700AF"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به عبارت ديگر: امر موجود در آيه به اين معناست که اولياء را از ممانعت نکاح دخترانشان با فقراء باز دارد، نه اين که به دختران امر کند که نکاح با فقراء را بپذيرند.</w:t>
      </w:r>
    </w:p>
    <w:p w14:paraId="7AE1F3F1" w14:textId="77777777" w:rsidR="0081718F" w:rsidRDefault="0081718F" w:rsidP="0081718F">
      <w:pPr>
        <w:widowControl w:val="0"/>
        <w:bidi/>
        <w:spacing w:after="0"/>
        <w:ind w:firstLine="284"/>
        <w:jc w:val="both"/>
        <w:rPr>
          <w:rFonts w:cs="Abz-2 (Badr)"/>
          <w:color w:val="000000" w:themeColor="text1"/>
          <w:sz w:val="28"/>
          <w:szCs w:val="28"/>
          <w:lang w:bidi="fa-IR"/>
        </w:rPr>
      </w:pPr>
      <w:r>
        <w:rPr>
          <w:rFonts w:cs="Abz-2 (Badr)" w:hint="cs"/>
          <w:color w:val="00B050"/>
          <w:sz w:val="28"/>
          <w:szCs w:val="28"/>
          <w:rtl/>
          <w:lang w:bidi="fa-IR"/>
        </w:rPr>
        <w:t>2 ـ</w:t>
      </w:r>
      <w:r>
        <w:rPr>
          <w:rFonts w:cs="Abz-2 (Badr)" w:hint="cs"/>
          <w:color w:val="000000" w:themeColor="text1"/>
          <w:sz w:val="28"/>
          <w:szCs w:val="28"/>
          <w:rtl/>
          <w:lang w:bidi="fa-IR"/>
        </w:rPr>
        <w:t xml:space="preserve"> صحيحة أبي حمزة الثمالي، قال: </w:t>
      </w:r>
      <w:r>
        <w:rPr>
          <w:rFonts w:ascii="Noor_Nazli" w:eastAsia="Times New Roman" w:hAnsi="Noor_Nazli" w:cs="Abz-2 (Badr)" w:hint="cs"/>
          <w:color w:val="70AD47" w:themeColor="accent6"/>
          <w:sz w:val="28"/>
          <w:szCs w:val="28"/>
          <w:rtl/>
          <w:lang w:bidi="ar"/>
        </w:rPr>
        <w:t>«كنت عند أبي جعفر(ع) إذا استأذن عليه رجل فأذن له فدخل عليه فسلّم فرحّب به أبو جعفر(ع) وأدناه وسأله. فقال الرجل: جعلت فدا</w:t>
      </w:r>
      <w:r>
        <w:rPr>
          <w:rFonts w:ascii="Noor_Nazli" w:eastAsia="Times New Roman" w:hAnsi="Noor_Nazli" w:cs="Abz-2 (Badr)" w:hint="cs"/>
          <w:color w:val="70AD47" w:themeColor="accent6"/>
          <w:sz w:val="28"/>
          <w:szCs w:val="28"/>
          <w:rtl/>
        </w:rPr>
        <w:t>ك</w:t>
      </w:r>
      <w:r>
        <w:rPr>
          <w:rFonts w:ascii="Noor_Nazli" w:eastAsia="Times New Roman" w:hAnsi="Noor_Nazli" w:cs="Abz-2 (Badr)" w:hint="cs"/>
          <w:color w:val="70AD47" w:themeColor="accent6"/>
          <w:sz w:val="28"/>
          <w:szCs w:val="28"/>
          <w:rtl/>
          <w:lang w:bidi="fa-IR"/>
        </w:rPr>
        <w:t xml:space="preserve">! </w:t>
      </w:r>
      <w:r>
        <w:rPr>
          <w:rFonts w:ascii="Noor_Nazli" w:eastAsia="Times New Roman" w:hAnsi="Noor_Nazli" w:cs="Abz-2 (Badr)" w:hint="cs"/>
          <w:color w:val="70AD47" w:themeColor="accent6"/>
          <w:sz w:val="28"/>
          <w:szCs w:val="28"/>
          <w:rtl/>
          <w:lang w:bidi="ar"/>
        </w:rPr>
        <w:t>إنّي خطبت إلى مولاك فلان بن أبي رافع ابنته فلانة فردّني ورغب عنّي وازدرأني</w:t>
      </w:r>
      <w:r>
        <w:rPr>
          <w:rStyle w:val="FootnoteReference"/>
          <w:rFonts w:cs="Abz-2 (Badr)"/>
          <w:color w:val="000000" w:themeColor="text1"/>
          <w:sz w:val="28"/>
          <w:szCs w:val="28"/>
          <w:rtl/>
          <w:lang w:bidi="ar"/>
        </w:rPr>
        <w:footnoteReference w:id="5"/>
      </w:r>
      <w:r>
        <w:rPr>
          <w:rFonts w:cs="Abz-2 (Badr)" w:hint="cs"/>
          <w:color w:val="000000" w:themeColor="text1"/>
          <w:sz w:val="28"/>
          <w:szCs w:val="28"/>
          <w:lang w:bidi="fa-IR"/>
        </w:rPr>
        <w:t>‌</w:t>
      </w:r>
      <w:r>
        <w:rPr>
          <w:rFonts w:ascii="Noor_Nazli" w:eastAsia="Times New Roman" w:hAnsi="Noor_Nazli" w:cs="Abz-2 (Badr)" w:hint="cs"/>
          <w:color w:val="70AD47" w:themeColor="accent6"/>
          <w:sz w:val="28"/>
          <w:szCs w:val="28"/>
          <w:rtl/>
          <w:lang w:bidi="ar"/>
        </w:rPr>
        <w:t xml:space="preserve"> لدَمامتي</w:t>
      </w:r>
      <w:r>
        <w:rPr>
          <w:rStyle w:val="FootnoteReference"/>
          <w:rFonts w:cs="Abz-2 (Badr)"/>
          <w:color w:val="000000" w:themeColor="text1"/>
          <w:sz w:val="28"/>
          <w:szCs w:val="28"/>
          <w:rtl/>
          <w:lang w:bidi="ar"/>
        </w:rPr>
        <w:footnoteReference w:id="6"/>
      </w:r>
      <w:r>
        <w:rPr>
          <w:rFonts w:cs="Abz-2 (Badr)" w:hint="cs"/>
          <w:color w:val="000000" w:themeColor="text1"/>
          <w:sz w:val="28"/>
          <w:szCs w:val="28"/>
          <w:lang w:bidi="fa-IR"/>
        </w:rPr>
        <w:t>‌</w:t>
      </w:r>
      <w:r>
        <w:rPr>
          <w:rFonts w:ascii="Noor_Nazli" w:eastAsia="Times New Roman" w:hAnsi="Noor_Nazli" w:cs="Abz-2 (Badr)" w:hint="cs"/>
          <w:color w:val="70AD47" w:themeColor="accent6"/>
          <w:sz w:val="28"/>
          <w:szCs w:val="28"/>
          <w:rtl/>
          <w:lang w:bidi="ar"/>
        </w:rPr>
        <w:t xml:space="preserve"> وحاجتي وغربتي، وقد دخلني من ذل</w:t>
      </w:r>
      <w:r>
        <w:rPr>
          <w:rFonts w:ascii="Noor_Nazli" w:eastAsia="Times New Roman" w:hAnsi="Noor_Nazli" w:cs="Abz-2 (Badr)" w:hint="cs"/>
          <w:color w:val="70AD47" w:themeColor="accent6"/>
          <w:sz w:val="28"/>
          <w:szCs w:val="28"/>
          <w:rtl/>
        </w:rPr>
        <w:t>ك غَضاضة</w:t>
      </w:r>
      <w:r>
        <w:rPr>
          <w:rStyle w:val="FootnoteReference"/>
          <w:rFonts w:cs="Abz-2 (Badr)"/>
          <w:color w:val="000000" w:themeColor="text1"/>
          <w:sz w:val="28"/>
          <w:szCs w:val="28"/>
          <w:rtl/>
          <w:lang w:bidi="ar"/>
        </w:rPr>
        <w:footnoteReference w:id="7"/>
      </w:r>
      <w:r>
        <w:rPr>
          <w:rFonts w:cs="Abz-2 (Badr)" w:hint="cs"/>
          <w:color w:val="000000" w:themeColor="text1"/>
          <w:sz w:val="28"/>
          <w:szCs w:val="28"/>
          <w:lang w:bidi="fa-IR"/>
        </w:rPr>
        <w:t>‌</w:t>
      </w:r>
      <w:r>
        <w:rPr>
          <w:rFonts w:ascii="Noor_Nazli" w:eastAsia="Times New Roman" w:hAnsi="Noor_Nazli" w:cs="Abz-2 (Badr)" w:hint="cs"/>
          <w:color w:val="70AD47" w:themeColor="accent6"/>
          <w:sz w:val="28"/>
          <w:szCs w:val="28"/>
          <w:rtl/>
        </w:rPr>
        <w:t xml:space="preserve"> هَجْمة غُضّ لها قلبي تمنّيت عندها الموت</w:t>
      </w:r>
      <w:r>
        <w:rPr>
          <w:rFonts w:ascii="Noor_Nazli" w:eastAsia="Times New Roman" w:hAnsi="Noor_Nazli" w:cs="Abz-2 (Badr)" w:hint="cs"/>
          <w:color w:val="70AD47" w:themeColor="accent6"/>
          <w:sz w:val="28"/>
          <w:szCs w:val="28"/>
          <w:rtl/>
          <w:lang w:bidi="ar"/>
        </w:rPr>
        <w:t>. فقال أبو جعفر(ع): اذهب فأنت رسولي إليه، وقل له: يقول لك محمّد بن عليّ بن الحسين بن عليّ بن أبي طالب(ع): زوّج مُنجِح بن رَباح مولاي ابنتك فلانة ولا تردّه. قال أبو حمزة: فوثب الرجل فرحاً مسرعاً برسالة أبي جعفر(ع). فلمّا أن تواری الرجل قال أبو جعفر(ع): إنّ رجلاً كان من أهل اليمامة يقال له جويبر، أتى رسول الله(ص) منتجعاً</w:t>
      </w:r>
      <w:r>
        <w:rPr>
          <w:rStyle w:val="FootnoteReference"/>
          <w:rFonts w:cs="Abz-2 (Badr)"/>
          <w:color w:val="000000" w:themeColor="text1"/>
          <w:sz w:val="28"/>
          <w:szCs w:val="28"/>
          <w:rtl/>
          <w:lang w:bidi="ar"/>
        </w:rPr>
        <w:footnoteReference w:id="8"/>
      </w:r>
      <w:r>
        <w:rPr>
          <w:rFonts w:cs="Abz-2 (Badr)" w:hint="cs"/>
          <w:color w:val="000000" w:themeColor="text1"/>
          <w:sz w:val="28"/>
          <w:szCs w:val="28"/>
          <w:lang w:bidi="fa-IR"/>
        </w:rPr>
        <w:t>‌</w:t>
      </w:r>
      <w:r>
        <w:rPr>
          <w:rFonts w:ascii="Noor_Nazli" w:eastAsia="Times New Roman" w:hAnsi="Noor_Nazli" w:cs="Abz-2 (Badr)" w:hint="cs"/>
          <w:color w:val="70AD47" w:themeColor="accent6"/>
          <w:sz w:val="28"/>
          <w:szCs w:val="28"/>
          <w:rtl/>
          <w:lang w:bidi="ar"/>
        </w:rPr>
        <w:t xml:space="preserve"> للإسلام فأسلم وحسن إسلامه وكان رجلاً قصيراً دميماً محتاجاً عارياً وكان من قباح السودان... فإنّ رسول الله(ص) نظر إلى جويبر ذات يوم برحمة منه له ورقّة عليه فقال له: يا جويبر! لو تزوّجت امرأة فعففت بها فرجك وأعانتك على دنياك وآخرتك. فقال له جويبر: يا رسول الله! بأبي أنت وأُمّي، من يرغب فيّ؟ فو الله ما من حسب ولا نسب ولا مال ولا جمال، فأيّة امرأة ترغب فيّ؟ فقال له رسول الله(ص): يا جويبر! إنّ الله قد وضع بالإسلام من كان في الجاهليّة شريفاً وشرّف بالإسلام من كان في الجاهليّة وضيعاً... ثمّ قال له: انطلق يا جويبر إلى زياد بن لَبيد، فإنّه من أشرف بني بياضة حسباً فيهم، فقل له: إنّي رسول رسول الله(ص) إليك وهو يقول لك: زوّج جويبراً ابنتك الدَلفاء...»</w:t>
      </w:r>
      <w:r>
        <w:rPr>
          <w:rStyle w:val="FootnoteReference"/>
          <w:rFonts w:cs="Abz-2 (Badr)"/>
          <w:color w:val="000000" w:themeColor="text1"/>
          <w:sz w:val="28"/>
          <w:szCs w:val="28"/>
          <w:rtl/>
          <w:lang w:bidi="ar"/>
        </w:rPr>
        <w:footnoteReference w:id="9"/>
      </w:r>
      <w:r>
        <w:rPr>
          <w:rFonts w:cs="Abz-2 (Badr)" w:hint="cs"/>
          <w:color w:val="000000" w:themeColor="text1"/>
          <w:sz w:val="28"/>
          <w:szCs w:val="28"/>
          <w:lang w:bidi="fa-IR"/>
        </w:rPr>
        <w:t>‌</w:t>
      </w:r>
    </w:p>
    <w:p w14:paraId="4958517F"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روايت نيز دلالت تام بر عدم دخالت تمکن مالی زوج در کفايت دارد.</w:t>
      </w:r>
    </w:p>
    <w:p w14:paraId="5C3B532C" w14:textId="77777777" w:rsidR="0081718F" w:rsidRDefault="0081718F" w:rsidP="0081718F">
      <w:pPr>
        <w:widowControl w:val="0"/>
        <w:bidi/>
        <w:spacing w:after="0"/>
        <w:ind w:firstLine="284"/>
        <w:jc w:val="both"/>
        <w:rPr>
          <w:rFonts w:cs="Abz-2 (Badr)"/>
          <w:color w:val="000000" w:themeColor="text1"/>
          <w:sz w:val="28"/>
          <w:szCs w:val="28"/>
          <w:lang w:bidi="fa-IR"/>
        </w:rPr>
      </w:pPr>
      <w:r>
        <w:rPr>
          <w:rFonts w:cs="Abz-2 (Badr)" w:hint="cs"/>
          <w:color w:val="00B050"/>
          <w:sz w:val="28"/>
          <w:szCs w:val="28"/>
          <w:rtl/>
          <w:lang w:bidi="fa-IR"/>
        </w:rPr>
        <w:t xml:space="preserve">3 ـ </w:t>
      </w:r>
      <w:r>
        <w:rPr>
          <w:rFonts w:cs="Abz-2 (Badr)" w:hint="cs"/>
          <w:color w:val="000000" w:themeColor="text1"/>
          <w:sz w:val="28"/>
          <w:szCs w:val="28"/>
          <w:rtl/>
          <w:lang w:bidi="fa-IR"/>
        </w:rPr>
        <w:t>اخباری که سابقاً گذشت و در آنها امر به تزويج دختران به کسانی می</w:t>
      </w:r>
      <w:r>
        <w:rPr>
          <w:rFonts w:cs="Abz-2 (Badr)" w:hint="cs"/>
          <w:color w:val="000000" w:themeColor="text1"/>
          <w:sz w:val="28"/>
          <w:szCs w:val="28"/>
          <w:cs/>
          <w:lang w:bidi="fa-IR"/>
        </w:rPr>
        <w:t>‎</w:t>
      </w:r>
      <w:r>
        <w:rPr>
          <w:rFonts w:cs="Abz-2 (Badr)" w:hint="cs"/>
          <w:color w:val="000000" w:themeColor="text1"/>
          <w:sz w:val="28"/>
          <w:szCs w:val="28"/>
          <w:rtl/>
          <w:lang w:bidi="fa-IR"/>
        </w:rPr>
        <w:t xml:space="preserve">کند که از دين و خلق او رضايت وجود </w:t>
      </w:r>
      <w:r>
        <w:rPr>
          <w:rFonts w:cs="Abz-2 (Badr)" w:hint="cs"/>
          <w:color w:val="000000" w:themeColor="text1"/>
          <w:sz w:val="28"/>
          <w:szCs w:val="28"/>
          <w:rtl/>
          <w:lang w:bidi="fa-IR"/>
        </w:rPr>
        <w:lastRenderedPageBreak/>
        <w:t>دارد.</w:t>
      </w:r>
    </w:p>
    <w:p w14:paraId="6AF2973F" w14:textId="77777777" w:rsidR="0081718F" w:rsidRDefault="0081718F" w:rsidP="0081718F">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بيان نتيجه مسأله را به جلسه آينده واگذار می</w:t>
      </w:r>
      <w:r>
        <w:rPr>
          <w:rFonts w:cs="Abz-2 (Badr)" w:hint="cs"/>
          <w:color w:val="000000" w:themeColor="text1"/>
          <w:sz w:val="28"/>
          <w:szCs w:val="28"/>
          <w:rtl/>
          <w:lang w:bidi="fa-IR"/>
        </w:rPr>
        <w:softHyphen/>
        <w:t>کنيم ان شاء الله.</w:t>
      </w:r>
    </w:p>
    <w:p w14:paraId="77A14B09" w14:textId="77777777" w:rsidR="0081718F" w:rsidRDefault="0081718F" w:rsidP="0081718F">
      <w:pPr>
        <w:widowControl w:val="0"/>
        <w:bidi/>
        <w:spacing w:after="0"/>
        <w:ind w:firstLine="284"/>
        <w:jc w:val="both"/>
        <w:rPr>
          <w:rFonts w:cs="Abz-2 (Badr)" w:hint="cs"/>
          <w:color w:val="000000" w:themeColor="text1"/>
          <w:sz w:val="28"/>
          <w:szCs w:val="28"/>
          <w:rtl/>
          <w:lang w:bidi="fa-IR"/>
        </w:rPr>
      </w:pPr>
    </w:p>
    <w:p w14:paraId="7645A145" w14:textId="418D3C0F" w:rsidR="00EF1160" w:rsidRPr="0081718F" w:rsidRDefault="00EF1160" w:rsidP="0081718F">
      <w:pPr>
        <w:rPr>
          <w:rtl/>
        </w:rPr>
      </w:pPr>
    </w:p>
    <w:sectPr w:rsidR="00EF1160" w:rsidRPr="0081718F"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D9867" w14:textId="77777777" w:rsidR="005D59D5" w:rsidRDefault="005D59D5" w:rsidP="00F71127">
      <w:pPr>
        <w:spacing w:after="0" w:line="240" w:lineRule="auto"/>
      </w:pPr>
      <w:r>
        <w:separator/>
      </w:r>
    </w:p>
  </w:endnote>
  <w:endnote w:type="continuationSeparator" w:id="0">
    <w:p w14:paraId="65D31221" w14:textId="77777777" w:rsidR="005D59D5" w:rsidRDefault="005D59D5"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4C8ED" w14:textId="77777777" w:rsidR="005D59D5" w:rsidRDefault="005D59D5" w:rsidP="00EE25C0">
      <w:pPr>
        <w:bidi/>
        <w:spacing w:after="0" w:line="240" w:lineRule="auto"/>
      </w:pPr>
      <w:r>
        <w:separator/>
      </w:r>
    </w:p>
  </w:footnote>
  <w:footnote w:type="continuationSeparator" w:id="0">
    <w:p w14:paraId="41D1C33E" w14:textId="77777777" w:rsidR="005D59D5" w:rsidRDefault="005D59D5" w:rsidP="00F71127">
      <w:pPr>
        <w:bidi/>
        <w:spacing w:after="0" w:line="240" w:lineRule="auto"/>
      </w:pPr>
      <w:r>
        <w:continuationSeparator/>
      </w:r>
    </w:p>
  </w:footnote>
  <w:footnote w:id="1">
    <w:p w14:paraId="01C8A1EB" w14:textId="77777777" w:rsidR="0081718F" w:rsidRDefault="0081718F" w:rsidP="0081718F">
      <w:pPr>
        <w:pStyle w:val="FootnoteText"/>
        <w:bidi/>
        <w:rPr>
          <w:rFonts w:cs="Abz-2 (Badr)" w:hint="cs"/>
          <w:rtl/>
          <w:lang w:bidi="fa-IR"/>
        </w:rPr>
      </w:pPr>
      <w:r>
        <w:rPr>
          <w:rStyle w:val="FootnoteReference"/>
          <w:rFonts w:cs="Abz-2 (Badr)"/>
        </w:rPr>
        <w:footnoteRef/>
      </w:r>
      <w:r>
        <w:rPr>
          <w:rFonts w:cs="Abz-2 (Badr)" w:hint="cs"/>
          <w:rtl/>
        </w:rPr>
        <w:t xml:space="preserve"> ـ الحدائق الناضرة،ج24،ص82.</w:t>
      </w:r>
    </w:p>
  </w:footnote>
  <w:footnote w:id="2">
    <w:p w14:paraId="08F85B6A" w14:textId="77777777" w:rsidR="0081718F" w:rsidRDefault="0081718F" w:rsidP="0081718F">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النور(24):32.</w:t>
      </w:r>
    </w:p>
  </w:footnote>
  <w:footnote w:id="3">
    <w:p w14:paraId="3AD796FA" w14:textId="77777777" w:rsidR="0081718F" w:rsidRDefault="0081718F" w:rsidP="0081718F">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جواهر الکلام،ج30،ص110.</w:t>
      </w:r>
    </w:p>
  </w:footnote>
  <w:footnote w:id="4">
    <w:p w14:paraId="7BC7B865" w14:textId="77777777" w:rsidR="0081718F" w:rsidRDefault="0081718F" w:rsidP="0081718F">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النور(24):32.</w:t>
      </w:r>
    </w:p>
  </w:footnote>
  <w:footnote w:id="5">
    <w:p w14:paraId="37F9E577" w14:textId="77777777" w:rsidR="0081718F" w:rsidRDefault="0081718F" w:rsidP="0081718F">
      <w:pPr>
        <w:pStyle w:val="FootnoteText"/>
        <w:bidi/>
        <w:rPr>
          <w:rFonts w:cs="Abz-2 (Badr)" w:hint="cs"/>
          <w:rtl/>
        </w:rPr>
      </w:pPr>
      <w:r>
        <w:rPr>
          <w:rFonts w:cs="Abz-2 (Badr)"/>
        </w:rPr>
        <w:footnoteRef/>
      </w:r>
      <w:r>
        <w:rPr>
          <w:rFonts w:cs="Abz-2 (Badr)" w:hint="cs"/>
          <w:rtl/>
        </w:rPr>
        <w:t xml:space="preserve"> </w:t>
      </w:r>
      <w:r>
        <w:rPr>
          <w:rFonts w:cs="Abz-2 (Badr)" w:hint="cs"/>
          <w:rtl/>
        </w:rPr>
        <w:t xml:space="preserve">ـ </w:t>
      </w:r>
      <w:r>
        <w:rPr>
          <w:rFonts w:cs="Abz-2 (Badr)" w:hint="cs"/>
          <w:rtl/>
        </w:rPr>
        <w:t>«الإزراء: التهاون بالشىء. يقال: أَزْرَيْتُ به، إذا قصّرت به. وازْدَرَيْتُهُ، أي: حقرته»؛ الصحاح،ج6،ص2368.</w:t>
      </w:r>
    </w:p>
  </w:footnote>
  <w:footnote w:id="6">
    <w:p w14:paraId="08E4D9EE" w14:textId="77777777" w:rsidR="0081718F" w:rsidRDefault="0081718F" w:rsidP="0081718F">
      <w:pPr>
        <w:pStyle w:val="FootnoteText"/>
        <w:bidi/>
        <w:rPr>
          <w:rFonts w:cs="Abz-2 (Badr)" w:hint="cs"/>
          <w:rtl/>
        </w:rPr>
      </w:pPr>
      <w:r>
        <w:rPr>
          <w:rFonts w:cs="Abz-2 (Badr)"/>
        </w:rPr>
        <w:footnoteRef/>
      </w:r>
      <w:r>
        <w:rPr>
          <w:rFonts w:cs="Abz-2 (Badr)" w:hint="cs"/>
          <w:rtl/>
        </w:rPr>
        <w:t xml:space="preserve"> </w:t>
      </w:r>
      <w:r>
        <w:rPr>
          <w:rFonts w:cs="Abz-2 (Badr)" w:hint="cs"/>
          <w:rtl/>
        </w:rPr>
        <w:t xml:space="preserve">ـ </w:t>
      </w:r>
      <w:r>
        <w:rPr>
          <w:rFonts w:cs="Abz-2 (Badr)" w:hint="cs"/>
          <w:rtl/>
        </w:rPr>
        <w:t>«الدميم: القبيح»؛ الصحاح،ج5،ص1921.</w:t>
      </w:r>
    </w:p>
  </w:footnote>
  <w:footnote w:id="7">
    <w:p w14:paraId="4E892ED1" w14:textId="77777777" w:rsidR="0081718F" w:rsidRDefault="0081718F" w:rsidP="0081718F">
      <w:pPr>
        <w:pStyle w:val="FootnoteText"/>
        <w:bidi/>
        <w:rPr>
          <w:rFonts w:cs="Abz-2 (Badr)" w:hint="cs"/>
          <w:rtl/>
        </w:rPr>
      </w:pPr>
      <w:r>
        <w:rPr>
          <w:rFonts w:cs="Abz-2 (Badr)"/>
        </w:rPr>
        <w:footnoteRef/>
      </w:r>
      <w:r>
        <w:rPr>
          <w:rFonts w:cs="Abz-2 (Badr)" w:hint="cs"/>
          <w:rtl/>
        </w:rPr>
        <w:t xml:space="preserve"> </w:t>
      </w:r>
      <w:r>
        <w:rPr>
          <w:rFonts w:cs="Abz-2 (Badr)" w:hint="cs"/>
          <w:rtl/>
        </w:rPr>
        <w:t xml:space="preserve">ـ </w:t>
      </w:r>
      <w:r>
        <w:rPr>
          <w:rFonts w:cs="Abz-2 (Badr)" w:hint="cs"/>
          <w:rtl/>
        </w:rPr>
        <w:t>«غَضَاضَةٌ، أي: ذلّة ومنقصة»؛ الصحاح،ج3،ص1095.</w:t>
      </w:r>
    </w:p>
  </w:footnote>
  <w:footnote w:id="8">
    <w:p w14:paraId="7FD5D9F8" w14:textId="77777777" w:rsidR="0081718F" w:rsidRDefault="0081718F" w:rsidP="0081718F">
      <w:pPr>
        <w:pStyle w:val="FootnoteText"/>
        <w:bidi/>
        <w:rPr>
          <w:rFonts w:cs="Abz-2 (Badr)" w:hint="cs"/>
          <w:rtl/>
        </w:rPr>
      </w:pPr>
      <w:r>
        <w:rPr>
          <w:rFonts w:cs="Abz-2 (Badr)"/>
        </w:rPr>
        <w:footnoteRef/>
      </w:r>
      <w:r>
        <w:rPr>
          <w:rFonts w:cs="Abz-2 (Badr)" w:hint="cs"/>
          <w:rtl/>
        </w:rPr>
        <w:t xml:space="preserve"> </w:t>
      </w:r>
      <w:r>
        <w:rPr>
          <w:rFonts w:cs="Abz-2 (Badr)" w:hint="cs"/>
          <w:rtl/>
        </w:rPr>
        <w:t xml:space="preserve">ـ </w:t>
      </w:r>
      <w:r>
        <w:rPr>
          <w:rFonts w:cs="Abz-2 (Badr)" w:hint="cs"/>
          <w:rtl/>
        </w:rPr>
        <w:t>«انتجعتُ فلاناً: إذا أتيتَه تطلب معروفه»؛ الصحاح،ج3،ص1288.</w:t>
      </w:r>
    </w:p>
  </w:footnote>
  <w:footnote w:id="9">
    <w:p w14:paraId="4A17FB53" w14:textId="77777777" w:rsidR="0081718F" w:rsidRDefault="0081718F" w:rsidP="0081718F">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الکافي،ج5،ص،ص339 – 343،ح1 ـ وسائل الشيعة، الباب 25 من أبواب مقدّمات النکاح وآدابه،ح1،ج20،ص67 و 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43428F7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81718F">
                            <w:rPr>
                              <w:rFonts w:cs="B Mehr" w:hint="cs"/>
                              <w:rtl/>
                              <w:lang w:bidi="fa-IR"/>
                            </w:rPr>
                            <w:t>چهار</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81718F">
                            <w:rPr>
                              <w:rFonts w:cs="B Mehr" w:hint="cs"/>
                              <w:rtl/>
                              <w:lang w:bidi="fa-IR"/>
                            </w:rPr>
                            <w:t>09</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43428F7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81718F">
                      <w:rPr>
                        <w:rFonts w:cs="B Mehr" w:hint="cs"/>
                        <w:rtl/>
                        <w:lang w:bidi="fa-IR"/>
                      </w:rPr>
                      <w:t>چهار</w:t>
                    </w:r>
                    <w:r w:rsidR="00EF1160">
                      <w:rPr>
                        <w:rFonts w:cs="B Mehr" w:hint="cs"/>
                        <w:rtl/>
                        <w:lang w:bidi="fa-IR"/>
                      </w:rPr>
                      <w:t xml:space="preserve">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81718F">
                      <w:rPr>
                        <w:rFonts w:cs="B Mehr" w:hint="cs"/>
                        <w:rtl/>
                        <w:lang w:bidi="fa-IR"/>
                      </w:rPr>
                      <w:t>09</w:t>
                    </w:r>
                    <w:r w:rsidR="00EF1160">
                      <w:rPr>
                        <w:rFonts w:cs="B Mehr" w:hint="cs"/>
                        <w:rtl/>
                        <w:lang w:bidi="fa-IR"/>
                      </w:rPr>
                      <w:t xml:space="preserve">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256"/>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8A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77C"/>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59D5"/>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462"/>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18F"/>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2FE"/>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4DB8"/>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C7D63"/>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1160"/>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89635687">
      <w:bodyDiv w:val="1"/>
      <w:marLeft w:val="0"/>
      <w:marRight w:val="0"/>
      <w:marTop w:val="0"/>
      <w:marBottom w:val="0"/>
      <w:divBdr>
        <w:top w:val="none" w:sz="0" w:space="0" w:color="auto"/>
        <w:left w:val="none" w:sz="0" w:space="0" w:color="auto"/>
        <w:bottom w:val="none" w:sz="0" w:space="0" w:color="auto"/>
        <w:right w:val="none" w:sz="0" w:space="0" w:color="auto"/>
      </w:divBdr>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6735655">
      <w:bodyDiv w:val="1"/>
      <w:marLeft w:val="0"/>
      <w:marRight w:val="0"/>
      <w:marTop w:val="0"/>
      <w:marBottom w:val="0"/>
      <w:divBdr>
        <w:top w:val="none" w:sz="0" w:space="0" w:color="auto"/>
        <w:left w:val="none" w:sz="0" w:space="0" w:color="auto"/>
        <w:bottom w:val="none" w:sz="0" w:space="0" w:color="auto"/>
        <w:right w:val="none" w:sz="0" w:space="0" w:color="auto"/>
      </w:divBdr>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0971627">
      <w:bodyDiv w:val="1"/>
      <w:marLeft w:val="0"/>
      <w:marRight w:val="0"/>
      <w:marTop w:val="0"/>
      <w:marBottom w:val="0"/>
      <w:divBdr>
        <w:top w:val="none" w:sz="0" w:space="0" w:color="auto"/>
        <w:left w:val="none" w:sz="0" w:space="0" w:color="auto"/>
        <w:bottom w:val="none" w:sz="0" w:space="0" w:color="auto"/>
        <w:right w:val="none" w:sz="0" w:space="0" w:color="auto"/>
      </w:divBdr>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4296292">
      <w:bodyDiv w:val="1"/>
      <w:marLeft w:val="0"/>
      <w:marRight w:val="0"/>
      <w:marTop w:val="0"/>
      <w:marBottom w:val="0"/>
      <w:divBdr>
        <w:top w:val="none" w:sz="0" w:space="0" w:color="auto"/>
        <w:left w:val="none" w:sz="0" w:space="0" w:color="auto"/>
        <w:bottom w:val="none" w:sz="0" w:space="0" w:color="auto"/>
        <w:right w:val="none" w:sz="0" w:space="0" w:color="auto"/>
      </w:divBdr>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5238555">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306833">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21749</TotalTime>
  <Pages>1</Pages>
  <Words>652</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749</cp:revision>
  <cp:lastPrinted>2025-04-14T09:12:00Z</cp:lastPrinted>
  <dcterms:created xsi:type="dcterms:W3CDTF">2022-10-16T08:36:00Z</dcterms:created>
  <dcterms:modified xsi:type="dcterms:W3CDTF">2026-05-02T04:17:00Z</dcterms:modified>
</cp:coreProperties>
</file>