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E445B" w14:textId="77777777" w:rsidR="00621462" w:rsidRDefault="00621462" w:rsidP="00621462">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2B311494" w14:textId="77777777" w:rsidR="00621462" w:rsidRDefault="00621462" w:rsidP="00621462">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14EF2A1D" w14:textId="77777777" w:rsidR="00621462" w:rsidRDefault="00621462" w:rsidP="00621462">
      <w:pPr>
        <w:widowControl w:val="0"/>
        <w:bidi/>
        <w:spacing w:after="0"/>
        <w:jc w:val="center"/>
        <w:rPr>
          <w:rFonts w:cs="B Mitra" w:hint="cs"/>
          <w:b/>
          <w:bCs/>
          <w:sz w:val="32"/>
          <w:szCs w:val="32"/>
          <w:rtl/>
          <w:lang w:bidi="fa-IR"/>
        </w:rPr>
      </w:pPr>
      <w:r>
        <w:rPr>
          <w:rFonts w:cs="B Mitra" w:hint="cs"/>
          <w:b/>
          <w:bCs/>
          <w:sz w:val="32"/>
          <w:szCs w:val="32"/>
          <w:rtl/>
          <w:lang w:bidi="fa-IR"/>
        </w:rPr>
        <w:t>جلسه 922</w:t>
      </w:r>
    </w:p>
    <w:p w14:paraId="362F64CA" w14:textId="77777777" w:rsidR="00621462" w:rsidRDefault="00621462" w:rsidP="00621462">
      <w:pPr>
        <w:widowControl w:val="0"/>
        <w:bidi/>
        <w:spacing w:after="0"/>
        <w:ind w:firstLine="284"/>
        <w:jc w:val="both"/>
        <w:rPr>
          <w:rFonts w:cs="Abz-2 (Badr)" w:hint="cs"/>
          <w:color w:val="000000" w:themeColor="text1"/>
          <w:sz w:val="28"/>
          <w:szCs w:val="28"/>
          <w:rtl/>
          <w:lang w:bidi="fa-IR"/>
        </w:rPr>
      </w:pPr>
      <w:bookmarkStart w:id="0" w:name="_Hlk159096966"/>
    </w:p>
    <w:p w14:paraId="533A7372" w14:textId="77777777" w:rsidR="00621462" w:rsidRDefault="00621462" w:rsidP="00621462">
      <w:pPr>
        <w:widowControl w:val="0"/>
        <w:bidi/>
        <w:spacing w:after="0"/>
        <w:ind w:firstLine="284"/>
        <w:jc w:val="both"/>
        <w:rPr>
          <w:rFonts w:cs="Abz-2 (Badr)" w:hint="cs"/>
          <w:color w:val="C45911" w:themeColor="accent2" w:themeShade="BF"/>
          <w:sz w:val="28"/>
          <w:szCs w:val="28"/>
          <w:rtl/>
          <w:lang w:bidi="fa-IR"/>
        </w:rPr>
      </w:pPr>
    </w:p>
    <w:p w14:paraId="046BC2FF" w14:textId="77777777" w:rsidR="00621462" w:rsidRDefault="00621462" w:rsidP="00621462">
      <w:pPr>
        <w:widowControl w:val="0"/>
        <w:bidi/>
        <w:spacing w:after="0" w:line="244"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جلسه قبل گفتيم که در خصوص اشتراط تمکن زوج از پرداخت نفقه زوجه در زمان نکاح، سه قول در بين اصحاب وجود دارد آن اقوال را نيز مطرح کرديم.</w:t>
      </w:r>
    </w:p>
    <w:bookmarkEnd w:id="0"/>
    <w:p w14:paraId="3524574D" w14:textId="77777777" w:rsidR="00621462" w:rsidRDefault="00621462" w:rsidP="00621462">
      <w:pPr>
        <w:widowControl w:val="0"/>
        <w:bidi/>
        <w:spacing w:after="0" w:line="244"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برای قول به اشتراط تمکن از نفقه در صحت نکاح، ادله</w:t>
      </w:r>
      <w:r>
        <w:rPr>
          <w:rFonts w:cs="Abz-2 (Badr)" w:hint="cs"/>
          <w:color w:val="000000" w:themeColor="text1"/>
          <w:sz w:val="28"/>
          <w:szCs w:val="28"/>
          <w:rtl/>
          <w:lang w:bidi="fa-IR"/>
        </w:rPr>
        <w:softHyphen/>
        <w:t>ای ذکر شده است:</w:t>
      </w:r>
    </w:p>
    <w:p w14:paraId="4E35F452" w14:textId="77777777" w:rsidR="00621462" w:rsidRDefault="00621462" w:rsidP="00621462">
      <w:pPr>
        <w:widowControl w:val="0"/>
        <w:bidi/>
        <w:spacing w:after="0" w:line="244" w:lineRule="auto"/>
        <w:ind w:firstLine="284"/>
        <w:jc w:val="both"/>
        <w:rPr>
          <w:rFonts w:cs="Abz-2 (Badr)" w:hint="cs"/>
          <w:color w:val="0070C0"/>
          <w:sz w:val="28"/>
          <w:szCs w:val="28"/>
          <w:rtl/>
          <w:lang w:bidi="fa-IR"/>
        </w:rPr>
      </w:pPr>
      <w:r>
        <w:rPr>
          <w:rFonts w:cs="Abz-2 (Badr)" w:hint="cs"/>
          <w:color w:val="00B050"/>
          <w:sz w:val="28"/>
          <w:szCs w:val="28"/>
          <w:rtl/>
          <w:lang w:bidi="fa-IR"/>
        </w:rPr>
        <w:t xml:space="preserve">1 ـ </w:t>
      </w:r>
      <w:r>
        <w:rPr>
          <w:rFonts w:cs="Abz-2 (Badr)" w:hint="cs"/>
          <w:color w:val="000000" w:themeColor="text1"/>
          <w:sz w:val="28"/>
          <w:szCs w:val="28"/>
          <w:rtl/>
          <w:lang w:bidi="fa-IR"/>
        </w:rPr>
        <w:t>آيه شريفه:</w:t>
      </w:r>
      <w:r>
        <w:rPr>
          <w:rFonts w:cs="Abz-2 (Badr)" w:hint="cs"/>
          <w:color w:val="0070C0"/>
          <w:sz w:val="28"/>
          <w:szCs w:val="28"/>
          <w:rtl/>
          <w:lang w:bidi="fa-IR"/>
        </w:rPr>
        <w:t xml:space="preserve"> </w:t>
      </w:r>
      <w:r>
        <w:rPr>
          <w:rFonts w:cs="QuranTaha" w:hint="cs"/>
          <w:color w:val="BF8F00" w:themeColor="accent4" w:themeShade="BF"/>
          <w:sz w:val="26"/>
          <w:szCs w:val="26"/>
          <w:rtl/>
          <w:lang w:bidi="fa-IR"/>
        </w:rPr>
        <w:t>«</w:t>
      </w:r>
      <w:r>
        <w:rPr>
          <w:rFonts w:cs="QuranTaha" w:hint="cs"/>
          <w:color w:val="BF8F00" w:themeColor="accent4" w:themeShade="BF"/>
          <w:sz w:val="26"/>
          <w:szCs w:val="26"/>
          <w:rtl/>
          <w:lang w:bidi="ar-IQ"/>
        </w:rPr>
        <w:t>وَمَنْ لَمْ يَسْتَطِعْ مِنْكُمْ طَوْل</w:t>
      </w:r>
      <w:r>
        <w:rPr>
          <w:rFonts w:cs="QuranTaha" w:hint="cs"/>
          <w:color w:val="BF8F00" w:themeColor="accent4" w:themeShade="BF"/>
          <w:sz w:val="26"/>
          <w:szCs w:val="26"/>
          <w:rtl/>
          <w:lang w:bidi="fa-IR"/>
        </w:rPr>
        <w:t>اً</w:t>
      </w:r>
      <w:r>
        <w:rPr>
          <w:rFonts w:cs="QuranTaha" w:hint="cs"/>
          <w:color w:val="BF8F00" w:themeColor="accent4" w:themeShade="BF"/>
          <w:sz w:val="26"/>
          <w:szCs w:val="26"/>
          <w:rtl/>
          <w:lang w:bidi="ar-IQ"/>
        </w:rPr>
        <w:t xml:space="preserve"> أَنْ يَنْكِحَ الْمُحْصَنَاتِ الْمُؤْمِنَاتِ فَمِنْ مَا مَلَك</w:t>
      </w:r>
      <w:r>
        <w:rPr>
          <w:rFonts w:cs="QuranTaha" w:hint="cs"/>
          <w:color w:val="BF8F00" w:themeColor="accent4" w:themeShade="BF"/>
          <w:sz w:val="26"/>
          <w:szCs w:val="26"/>
          <w:rtl/>
          <w:lang w:bidi="fa-IR"/>
        </w:rPr>
        <w:t>ـ</w:t>
      </w:r>
      <w:r>
        <w:rPr>
          <w:rFonts w:cs="QuranTaha" w:hint="cs"/>
          <w:color w:val="BF8F00" w:themeColor="accent4" w:themeShade="BF"/>
          <w:sz w:val="26"/>
          <w:szCs w:val="26"/>
          <w:rtl/>
          <w:lang w:bidi="ar-IQ"/>
        </w:rPr>
        <w:t>َتْ أَيْمَانُك</w:t>
      </w:r>
      <w:r>
        <w:rPr>
          <w:rFonts w:cs="QuranTaha" w:hint="cs"/>
          <w:color w:val="BF8F00" w:themeColor="accent4" w:themeShade="BF"/>
          <w:sz w:val="26"/>
          <w:szCs w:val="26"/>
          <w:rtl/>
          <w:lang w:bidi="fa-IR"/>
        </w:rPr>
        <w:t>ـ</w:t>
      </w:r>
      <w:r>
        <w:rPr>
          <w:rFonts w:cs="QuranTaha" w:hint="cs"/>
          <w:color w:val="BF8F00" w:themeColor="accent4" w:themeShade="BF"/>
          <w:sz w:val="26"/>
          <w:szCs w:val="26"/>
          <w:rtl/>
          <w:lang w:bidi="ar-IQ"/>
        </w:rPr>
        <w:t>ُمْ مِنْ فَتَيَاتِكُمُ الْمُؤْمِنَاتِ</w:t>
      </w:r>
      <w:r>
        <w:rPr>
          <w:rFonts w:cs="QuranTaha" w:hint="cs"/>
          <w:color w:val="BF8F00" w:themeColor="accent4" w:themeShade="BF"/>
          <w:sz w:val="26"/>
          <w:szCs w:val="26"/>
          <w:rtl/>
          <w:lang w:bidi="fa-IR"/>
        </w:rPr>
        <w:t>»</w:t>
      </w:r>
      <w:r>
        <w:rPr>
          <w:rStyle w:val="FootnoteReference"/>
          <w:rFonts w:cs="Abz-2 (Badr)"/>
          <w:color w:val="000000" w:themeColor="text1"/>
          <w:sz w:val="28"/>
          <w:szCs w:val="28"/>
          <w:rtl/>
          <w:lang w:bidi="ar"/>
        </w:rPr>
        <w:footnoteReference w:id="1"/>
      </w:r>
      <w:r>
        <w:rPr>
          <w:rFonts w:cs="Abz-2 (Badr)" w:hint="cs"/>
          <w:color w:val="000000" w:themeColor="text1"/>
          <w:sz w:val="28"/>
          <w:szCs w:val="28"/>
          <w:rtl/>
          <w:lang w:bidi="fa-IR"/>
        </w:rPr>
        <w:t>.</w:t>
      </w:r>
      <w:r>
        <w:rPr>
          <w:rStyle w:val="FootnoteReference"/>
          <w:rFonts w:cs="Abz-2 (Badr)"/>
          <w:color w:val="000000" w:themeColor="text1"/>
          <w:sz w:val="28"/>
          <w:szCs w:val="28"/>
          <w:rtl/>
          <w:lang w:bidi="ar"/>
        </w:rPr>
        <w:footnoteReference w:id="2"/>
      </w:r>
    </w:p>
    <w:p w14:paraId="06EAD558" w14:textId="77777777" w:rsidR="00621462" w:rsidRDefault="00621462" w:rsidP="00621462">
      <w:pPr>
        <w:widowControl w:val="0"/>
        <w:bidi/>
        <w:spacing w:after="0" w:line="244" w:lineRule="auto"/>
        <w:ind w:firstLine="284"/>
        <w:jc w:val="both"/>
        <w:rPr>
          <w:rFonts w:cs="Abz-2 (Badr)"/>
          <w:color w:val="000000" w:themeColor="text1"/>
          <w:sz w:val="28"/>
          <w:szCs w:val="28"/>
          <w:lang w:bidi="fa-IR"/>
        </w:rPr>
      </w:pPr>
      <w:r>
        <w:rPr>
          <w:rFonts w:cs="Abz-2 (Badr)" w:hint="cs"/>
          <w:color w:val="000000" w:themeColor="text1"/>
          <w:sz w:val="28"/>
          <w:szCs w:val="28"/>
          <w:rtl/>
          <w:lang w:bidi="fa-IR"/>
        </w:rPr>
        <w:t>نحوه استدلال به اين آيه به اين گونه است که در آن بيان شده است که کسی که قدرت بر نکاح با حرّه را ندارد، به ملک يمين اکتفاء نمايد که يا مراد از آن اکتفاء به استمتاع از ملک يمين ولو به نحو تحليل و يا دادن اجرت و امثال آن است، و يا نکاح با امه غير که نفقه کمتری از نفقه حره را نياز دارد.</w:t>
      </w:r>
    </w:p>
    <w:p w14:paraId="7A07457E" w14:textId="77777777" w:rsidR="00621462" w:rsidRDefault="00621462" w:rsidP="00621462">
      <w:pPr>
        <w:widowControl w:val="0"/>
        <w:bidi/>
        <w:spacing w:after="0" w:line="244"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بنابر اين می</w:t>
      </w:r>
      <w:r>
        <w:rPr>
          <w:rFonts w:cs="Abz-2 (Badr)" w:hint="cs"/>
          <w:color w:val="000000" w:themeColor="text1"/>
          <w:sz w:val="28"/>
          <w:szCs w:val="28"/>
          <w:rtl/>
          <w:lang w:bidi="fa-IR"/>
        </w:rPr>
        <w:softHyphen/>
        <w:t>توان از آن استفاده کرد که در صورت عدم قدرت بر دادن نفقه، نکاح با حره تجويز نشده است.</w:t>
      </w:r>
    </w:p>
    <w:p w14:paraId="0401D948" w14:textId="77777777" w:rsidR="00621462" w:rsidRDefault="00621462" w:rsidP="00621462">
      <w:pPr>
        <w:widowControl w:val="0"/>
        <w:bidi/>
        <w:spacing w:after="0" w:line="244"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پاسخ به اين مدعا اين است که آنچه در آيه شريفه آمده است، ارشادی است و دلالت بر نهی از نکاح ندارد.</w:t>
      </w:r>
    </w:p>
    <w:p w14:paraId="55F93EDA" w14:textId="77777777" w:rsidR="00621462" w:rsidRDefault="00621462" w:rsidP="00621462">
      <w:pPr>
        <w:widowControl w:val="0"/>
        <w:bidi/>
        <w:spacing w:after="0" w:line="244"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مضافاً بر اين که عدم جواز نکاح برای غير متمکن از دادن نفقه مستفاد از مفهوم آيه شريفه است نه منطوق آن، در حالی که آيه شريفه فاقد مفهوم است.</w:t>
      </w:r>
    </w:p>
    <w:p w14:paraId="55ED04AA" w14:textId="77777777" w:rsidR="00621462" w:rsidRDefault="00621462" w:rsidP="00621462">
      <w:pPr>
        <w:widowControl w:val="0"/>
        <w:bidi/>
        <w:spacing w:after="0" w:line="244"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 xml:space="preserve">البته صاحب جواهر علاوه بر حمل آيه شريفه بر ارشاد احتمال داده است که مراد از عدم قدرت بر نکاح با حرّه، </w:t>
      </w:r>
      <w:r>
        <w:rPr>
          <w:rFonts w:cs="Abz-2 (Badr)" w:hint="cs"/>
          <w:color w:val="000000" w:themeColor="text1"/>
          <w:sz w:val="28"/>
          <w:szCs w:val="28"/>
          <w:rtl/>
          <w:lang w:bidi="fa-IR"/>
        </w:rPr>
        <w:lastRenderedPageBreak/>
        <w:t>عدم قدرت بر مهر او باشد نه بر نفقه وی</w:t>
      </w:r>
      <w:r>
        <w:rPr>
          <w:rStyle w:val="FootnoteReference"/>
          <w:rFonts w:cs="Abz-2 (Badr)"/>
          <w:color w:val="000000" w:themeColor="text1"/>
          <w:sz w:val="28"/>
          <w:szCs w:val="28"/>
          <w:rtl/>
          <w:lang w:bidi="ar"/>
        </w:rPr>
        <w:footnoteReference w:id="3"/>
      </w:r>
      <w:r>
        <w:rPr>
          <w:rFonts w:cs="Abz-2 (Badr)" w:hint="cs"/>
          <w:color w:val="000000" w:themeColor="text1"/>
          <w:sz w:val="28"/>
          <w:szCs w:val="28"/>
          <w:rtl/>
          <w:lang w:bidi="fa-IR"/>
        </w:rPr>
        <w:t>، اما اين مطلب خلاف ظاهر آيه است، زيرا مهر در زمان نزول آيه غالباً به مقداری نبوده است که فقراء از دادن آن معذور باشند.</w:t>
      </w:r>
    </w:p>
    <w:p w14:paraId="00D8D4F0" w14:textId="77777777" w:rsidR="00621462" w:rsidRDefault="00621462" w:rsidP="00621462">
      <w:pPr>
        <w:widowControl w:val="0"/>
        <w:bidi/>
        <w:spacing w:after="0" w:line="244" w:lineRule="auto"/>
        <w:ind w:firstLine="284"/>
        <w:jc w:val="both"/>
        <w:rPr>
          <w:rFonts w:ascii="Noor_Nazli" w:eastAsia="Times New Roman" w:hAnsi="Noor_Nazli" w:cs="Abz-2 (Badr)"/>
          <w:color w:val="70AD47" w:themeColor="accent6"/>
          <w:sz w:val="28"/>
          <w:szCs w:val="28"/>
          <w:lang w:bidi="ar"/>
        </w:rPr>
      </w:pPr>
      <w:r>
        <w:rPr>
          <w:rFonts w:cs="Abz-2 (Badr)" w:hint="cs"/>
          <w:color w:val="00B050"/>
          <w:sz w:val="28"/>
          <w:szCs w:val="28"/>
          <w:rtl/>
          <w:lang w:bidi="fa-IR"/>
        </w:rPr>
        <w:t>2 ـ</w:t>
      </w:r>
      <w:r>
        <w:rPr>
          <w:rFonts w:cs="Abz-2 (Badr)" w:hint="cs"/>
          <w:color w:val="000000" w:themeColor="text1"/>
          <w:sz w:val="28"/>
          <w:szCs w:val="28"/>
          <w:rtl/>
          <w:lang w:bidi="fa-IR"/>
        </w:rPr>
        <w:t xml:space="preserve"> مرسلة أبان عن رجل عن أبي عبدالله(ع): </w:t>
      </w:r>
      <w:r>
        <w:rPr>
          <w:rFonts w:ascii="Noor_Nazli" w:eastAsia="Times New Roman" w:hAnsi="Noor_Nazli" w:cs="Abz-2 (Badr)" w:hint="cs"/>
          <w:color w:val="70AD47" w:themeColor="accent6"/>
          <w:sz w:val="28"/>
          <w:szCs w:val="28"/>
          <w:rtl/>
          <w:lang w:bidi="ar"/>
        </w:rPr>
        <w:t>«الکفؤ أن يکون عفيفاً وعنده يسار.»</w:t>
      </w:r>
      <w:r>
        <w:rPr>
          <w:rStyle w:val="FootnoteReference"/>
          <w:rFonts w:cs="Abz-2 (Badr)"/>
          <w:color w:val="000000" w:themeColor="text1"/>
          <w:sz w:val="28"/>
          <w:szCs w:val="28"/>
          <w:rtl/>
          <w:lang w:bidi="ar"/>
        </w:rPr>
        <w:footnoteReference w:id="4"/>
      </w:r>
    </w:p>
    <w:p w14:paraId="196DB33D" w14:textId="77777777" w:rsidR="00621462" w:rsidRDefault="00621462" w:rsidP="00621462">
      <w:pPr>
        <w:widowControl w:val="0"/>
        <w:bidi/>
        <w:spacing w:after="0" w:line="244" w:lineRule="auto"/>
        <w:ind w:firstLine="284"/>
        <w:jc w:val="both"/>
        <w:rPr>
          <w:rFonts w:cs="Abz-2 (Badr)" w:hint="cs"/>
          <w:color w:val="000000" w:themeColor="text1"/>
          <w:sz w:val="28"/>
          <w:szCs w:val="28"/>
          <w:rtl/>
          <w:lang w:bidi="fa-IR"/>
        </w:rPr>
      </w:pPr>
      <w:r>
        <w:rPr>
          <w:rFonts w:ascii="Noor_Nazli" w:eastAsia="Times New Roman" w:hAnsi="Noor_Nazli" w:cs="Abz-2 (Badr)" w:hint="cs"/>
          <w:color w:val="000000" w:themeColor="text1"/>
          <w:sz w:val="28"/>
          <w:szCs w:val="28"/>
          <w:rtl/>
          <w:lang w:bidi="ar"/>
        </w:rPr>
        <w:t>مرسلة محمّد بن الفضيل</w:t>
      </w:r>
      <w:r>
        <w:rPr>
          <w:rStyle w:val="FootnoteReference"/>
          <w:rFonts w:cs="Abz-2 (Badr)"/>
          <w:color w:val="000000" w:themeColor="text1"/>
          <w:sz w:val="28"/>
          <w:szCs w:val="28"/>
          <w:rtl/>
          <w:lang w:bidi="ar"/>
        </w:rPr>
        <w:footnoteReference w:id="5"/>
      </w:r>
      <w:r>
        <w:rPr>
          <w:rFonts w:ascii="Noor_Nazli" w:eastAsia="Times New Roman" w:hAnsi="Noor_Nazli" w:cs="Abz-2 (Badr)" w:hint="cs"/>
          <w:color w:val="000000" w:themeColor="text1"/>
          <w:sz w:val="28"/>
          <w:szCs w:val="28"/>
          <w:rtl/>
          <w:lang w:bidi="ar"/>
        </w:rPr>
        <w:t xml:space="preserve"> و </w:t>
      </w:r>
      <w:r>
        <w:rPr>
          <w:rFonts w:cs="Abz-2 (Badr)" w:hint="cs"/>
          <w:color w:val="000000" w:themeColor="text1"/>
          <w:sz w:val="28"/>
          <w:szCs w:val="28"/>
          <w:rtl/>
          <w:lang w:bidi="ar"/>
        </w:rPr>
        <w:t xml:space="preserve">خبر </w:t>
      </w:r>
      <w:r>
        <w:rPr>
          <w:rFonts w:cs="Abz-2 (Badr)" w:hint="cs"/>
          <w:color w:val="000000" w:themeColor="text1"/>
          <w:sz w:val="28"/>
          <w:szCs w:val="28"/>
          <w:rtl/>
          <w:lang w:bidi="fa-IR"/>
        </w:rPr>
        <w:t>محمّد بن الفضيل الهاشمی</w:t>
      </w:r>
      <w:r>
        <w:rPr>
          <w:rStyle w:val="FootnoteReference"/>
          <w:rFonts w:cs="Abz-2 (Badr)"/>
          <w:color w:val="000000" w:themeColor="text1"/>
          <w:sz w:val="28"/>
          <w:szCs w:val="28"/>
          <w:rtl/>
          <w:lang w:bidi="ar"/>
        </w:rPr>
        <w:footnoteReference w:id="6"/>
      </w:r>
      <w:r>
        <w:rPr>
          <w:rFonts w:cs="Abz-2 (Badr)" w:hint="cs"/>
          <w:color w:val="000000" w:themeColor="text1"/>
          <w:sz w:val="28"/>
          <w:szCs w:val="28"/>
          <w:rtl/>
          <w:lang w:bidi="fa-IR"/>
        </w:rPr>
        <w:t xml:space="preserve"> نيز همين مضمون را دارند.</w:t>
      </w:r>
    </w:p>
    <w:p w14:paraId="2081D98B" w14:textId="77777777" w:rsidR="00621462" w:rsidRDefault="00621462" w:rsidP="00621462">
      <w:pPr>
        <w:widowControl w:val="0"/>
        <w:bidi/>
        <w:spacing w:after="0" w:line="264" w:lineRule="auto"/>
        <w:ind w:firstLine="284"/>
        <w:jc w:val="both"/>
        <w:rPr>
          <w:rFonts w:cs="Abz-2 (Badr)"/>
          <w:color w:val="000000" w:themeColor="text1"/>
          <w:sz w:val="28"/>
          <w:szCs w:val="28"/>
          <w:lang w:bidi="fa-IR"/>
        </w:rPr>
      </w:pPr>
      <w:r>
        <w:rPr>
          <w:rFonts w:cs="Abz-2 (Badr)" w:hint="cs"/>
          <w:color w:val="000000" w:themeColor="text1"/>
          <w:sz w:val="28"/>
          <w:szCs w:val="28"/>
          <w:rtl/>
          <w:lang w:bidi="fa-IR"/>
        </w:rPr>
        <w:t>ولی اشکالی که به استناد به اين اخبار وارد است اين است که دارای ضعف سندی می</w:t>
      </w:r>
      <w:r>
        <w:rPr>
          <w:rFonts w:cs="Abz-2 (Badr)" w:hint="cs"/>
          <w:color w:val="000000" w:themeColor="text1"/>
          <w:sz w:val="28"/>
          <w:szCs w:val="28"/>
          <w:rtl/>
          <w:lang w:bidi="fa-IR"/>
        </w:rPr>
        <w:softHyphen/>
        <w:t>باشند و معلوم نيست فتوای قدمای اصحاب به مدخليت تمکن از نفقه مستند به آنها باشد تا اين که بر اساس آن ضعف سند آنها جبران گردد. مضافاً بر اين که معلوم نيست که مدخليت تمکن از نفقه فتوای مشهور قدمای از اصحاب باشد.</w:t>
      </w:r>
    </w:p>
    <w:p w14:paraId="3083792F" w14:textId="77777777" w:rsidR="00621462" w:rsidRDefault="00621462" w:rsidP="00621462">
      <w:pPr>
        <w:widowControl w:val="0"/>
        <w:bidi/>
        <w:spacing w:after="0" w:line="264"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علاوه بر اين که ذکر عفاف در کنار يسار قرينه بر اين است که کفائت مذکور در روايت چيزی نيست که صحت نکاح مترتب بر آن باشد، چون احدی قائل به مدخليت عفاف در کفايت مشروط در صحت نکاح نشده است. بنابر اين بايد اين اخبار را ـ با غض نظر از ضعف سند آنها ـ حمل بر اولويت نمود.</w:t>
      </w:r>
    </w:p>
    <w:p w14:paraId="3ECCCD70" w14:textId="77777777" w:rsidR="00621462" w:rsidRDefault="00621462" w:rsidP="00621462">
      <w:pPr>
        <w:widowControl w:val="0"/>
        <w:bidi/>
        <w:spacing w:after="0" w:line="264" w:lineRule="auto"/>
        <w:ind w:firstLine="284"/>
        <w:jc w:val="both"/>
        <w:rPr>
          <w:rFonts w:cs="Abz-2 (Badr)" w:hint="cs"/>
          <w:color w:val="000000" w:themeColor="text1"/>
          <w:sz w:val="28"/>
          <w:szCs w:val="28"/>
          <w:rtl/>
          <w:lang w:bidi="fa-IR"/>
        </w:rPr>
      </w:pPr>
      <w:r>
        <w:rPr>
          <w:rFonts w:cs="Abz-2 (Badr)" w:hint="cs"/>
          <w:color w:val="00B050"/>
          <w:sz w:val="28"/>
          <w:szCs w:val="28"/>
          <w:rtl/>
          <w:lang w:bidi="fa-IR"/>
        </w:rPr>
        <w:t xml:space="preserve">3 ـ </w:t>
      </w:r>
      <w:r>
        <w:rPr>
          <w:rFonts w:cs="Abz-2 (Badr)" w:hint="cs"/>
          <w:color w:val="000000" w:themeColor="text1"/>
          <w:sz w:val="28"/>
          <w:szCs w:val="28"/>
          <w:rtl/>
          <w:lang w:bidi="fa-IR"/>
        </w:rPr>
        <w:t>روايتی که عامه از فاطمة بنت قيس نقل کرده</w:t>
      </w:r>
      <w:r>
        <w:rPr>
          <w:rFonts w:cs="Abz-2 (Badr)" w:hint="cs"/>
          <w:color w:val="000000" w:themeColor="text1"/>
          <w:sz w:val="28"/>
          <w:szCs w:val="28"/>
          <w:rtl/>
          <w:lang w:bidi="fa-IR"/>
        </w:rPr>
        <w:softHyphen/>
        <w:t xml:space="preserve">اند و در آن آمده است: </w:t>
      </w:r>
      <w:r>
        <w:rPr>
          <w:rFonts w:ascii="Noor_Nazli" w:eastAsia="Times New Roman" w:hAnsi="Noor_Nazli" w:cs="Abz-2 (Badr)" w:hint="cs"/>
          <w:color w:val="70AD47" w:themeColor="accent6"/>
          <w:sz w:val="28"/>
          <w:szCs w:val="28"/>
          <w:rtl/>
          <w:lang w:bidi="ar"/>
        </w:rPr>
        <w:t>«...لمّا حللت ذکرت له أنّ معاوية بن أبي سفيان وأبا الجهم خطباني، فقال رسول الله(ص): أمّا أبوالجهم فلا يضع عصاه، وأمّا معاوية فصُعلوك لا مال له، انکحي أُسامة بن زيد.»</w:t>
      </w:r>
      <w:r>
        <w:rPr>
          <w:rStyle w:val="FootnoteReference"/>
          <w:rFonts w:cs="Abz-2 (Badr)"/>
          <w:color w:val="000000" w:themeColor="text1"/>
          <w:sz w:val="28"/>
          <w:szCs w:val="28"/>
          <w:rtl/>
          <w:lang w:bidi="ar"/>
        </w:rPr>
        <w:footnoteReference w:id="7"/>
      </w:r>
    </w:p>
    <w:p w14:paraId="51F21D36" w14:textId="77777777" w:rsidR="00621462" w:rsidRDefault="00621462" w:rsidP="00621462">
      <w:pPr>
        <w:widowControl w:val="0"/>
        <w:bidi/>
        <w:spacing w:after="0" w:line="264" w:lineRule="auto"/>
        <w:ind w:firstLine="284"/>
        <w:jc w:val="both"/>
        <w:rPr>
          <w:rFonts w:cs="Abz-2 (Badr)"/>
          <w:color w:val="000000" w:themeColor="text1"/>
          <w:sz w:val="28"/>
          <w:szCs w:val="28"/>
          <w:lang w:bidi="fa-IR"/>
        </w:rPr>
      </w:pPr>
      <w:r>
        <w:rPr>
          <w:rFonts w:cs="Abz-2 (Badr)" w:hint="cs"/>
          <w:color w:val="000000" w:themeColor="text1"/>
          <w:sz w:val="28"/>
          <w:szCs w:val="28"/>
          <w:rtl/>
          <w:lang w:bidi="fa-IR"/>
        </w:rPr>
        <w:t>اما پاسخی که می</w:t>
      </w:r>
      <w:r>
        <w:rPr>
          <w:rFonts w:cs="Abz-2 (Badr)" w:hint="cs"/>
          <w:color w:val="000000" w:themeColor="text1"/>
          <w:sz w:val="28"/>
          <w:szCs w:val="28"/>
          <w:rtl/>
          <w:lang w:bidi="fa-IR"/>
        </w:rPr>
        <w:softHyphen/>
        <w:t>توان به اين استدلال داد اين است که آنچه که رسول الله(ص) ـ بر فرض صحّت روايت ـ در مقام مشورت برای نکاح بيان کرده</w:t>
      </w:r>
      <w:r>
        <w:rPr>
          <w:rFonts w:cs="Abz-2 (Badr)" w:hint="cs"/>
          <w:color w:val="000000" w:themeColor="text1"/>
          <w:sz w:val="28"/>
          <w:szCs w:val="28"/>
          <w:rtl/>
          <w:lang w:bidi="fa-IR"/>
        </w:rPr>
        <w:softHyphen/>
        <w:t>اند، دليل برای اشتراط تمکن از نفقه در نکاح نيست، بلکه ايشان در مقام بيان آنچه که خير و صلاح فاطمه بنت قيس بوده است، اين مطلب را بيان فرموده</w:t>
      </w:r>
      <w:r>
        <w:rPr>
          <w:rFonts w:cs="Abz-2 (Badr)" w:hint="cs"/>
          <w:color w:val="000000" w:themeColor="text1"/>
          <w:sz w:val="28"/>
          <w:szCs w:val="28"/>
          <w:rtl/>
          <w:lang w:bidi="fa-IR"/>
        </w:rPr>
        <w:softHyphen/>
        <w:t>اند.</w:t>
      </w:r>
    </w:p>
    <w:p w14:paraId="505788C4" w14:textId="77777777" w:rsidR="00621462" w:rsidRDefault="00621462" w:rsidP="00621462">
      <w:pPr>
        <w:widowControl w:val="0"/>
        <w:bidi/>
        <w:spacing w:after="0" w:line="264"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lastRenderedPageBreak/>
        <w:t>بلکه چه بسا ذکر «صعلو</w:t>
      </w:r>
      <w:r>
        <w:rPr>
          <w:rFonts w:cs="Abz-2 (Badr)" w:hint="cs"/>
          <w:color w:val="000000" w:themeColor="text1"/>
          <w:sz w:val="28"/>
          <w:szCs w:val="28"/>
          <w:rtl/>
        </w:rPr>
        <w:t>ك</w:t>
      </w:r>
      <w:r>
        <w:rPr>
          <w:rFonts w:cs="Abz-2 (Badr)" w:hint="cs"/>
          <w:color w:val="000000" w:themeColor="text1"/>
          <w:sz w:val="28"/>
          <w:szCs w:val="28"/>
          <w:rtl/>
          <w:lang w:bidi="fa-IR"/>
        </w:rPr>
        <w:t>» بودن برای معاويه برای اين بوده است که چون آن حضرت نسبت به نفاق معاويه آگاهی داشته</w:t>
      </w:r>
      <w:r>
        <w:rPr>
          <w:rFonts w:cs="Abz-2 (Badr)" w:hint="cs"/>
          <w:color w:val="000000" w:themeColor="text1"/>
          <w:sz w:val="28"/>
          <w:szCs w:val="28"/>
          <w:rtl/>
          <w:lang w:bidi="fa-IR"/>
        </w:rPr>
        <w:softHyphen/>
        <w:t>اند اما نمی</w:t>
      </w:r>
      <w:r>
        <w:rPr>
          <w:rFonts w:cs="Abz-2 (Badr)" w:hint="cs"/>
          <w:color w:val="000000" w:themeColor="text1"/>
          <w:sz w:val="28"/>
          <w:szCs w:val="28"/>
          <w:rtl/>
          <w:lang w:bidi="fa-IR"/>
        </w:rPr>
        <w:softHyphen/>
        <w:t>خواستند آن را علنی مطرح نمايند، با ذکر اين وصف خواسته</w:t>
      </w:r>
      <w:r>
        <w:rPr>
          <w:rFonts w:cs="Abz-2 (Badr)" w:hint="cs"/>
          <w:color w:val="000000" w:themeColor="text1"/>
          <w:sz w:val="28"/>
          <w:szCs w:val="28"/>
          <w:rtl/>
          <w:lang w:bidi="fa-IR"/>
        </w:rPr>
        <w:softHyphen/>
        <w:t>اند به نحوی فاطمه بنت قيس را از نکاح با چنين شخصی بازدارند، نه اين که وصف مذکور مانع حقيقی برای نکاح بوده باشد.</w:t>
      </w:r>
    </w:p>
    <w:p w14:paraId="4926B379" w14:textId="77777777" w:rsidR="00621462" w:rsidRDefault="00621462" w:rsidP="00621462">
      <w:pPr>
        <w:widowControl w:val="0"/>
        <w:bidi/>
        <w:spacing w:after="0" w:line="264"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مضافاً بر اين که حداکثر چيزی که از اين روايت استفاده می</w:t>
      </w:r>
      <w:r>
        <w:rPr>
          <w:rFonts w:cs="Abz-2 (Badr)" w:hint="cs"/>
          <w:color w:val="000000" w:themeColor="text1"/>
          <w:sz w:val="28"/>
          <w:szCs w:val="28"/>
          <w:rtl/>
          <w:lang w:bidi="fa-IR"/>
        </w:rPr>
        <w:softHyphen/>
        <w:t>شود، جواز رد خواستگاری است که فاقد تمکن مالی باشد، نه اشتراط تمکن از نفقه در صحت نکاح.</w:t>
      </w:r>
    </w:p>
    <w:p w14:paraId="6CC014DA" w14:textId="77777777" w:rsidR="00621462" w:rsidRDefault="00621462" w:rsidP="00621462">
      <w:pPr>
        <w:widowControl w:val="0"/>
        <w:bidi/>
        <w:spacing w:after="0" w:line="264" w:lineRule="auto"/>
        <w:ind w:firstLine="284"/>
        <w:jc w:val="both"/>
        <w:rPr>
          <w:rFonts w:cs="Abz-2 (Badr)" w:hint="cs"/>
          <w:color w:val="000000" w:themeColor="text1"/>
          <w:sz w:val="28"/>
          <w:szCs w:val="28"/>
          <w:rtl/>
          <w:lang w:bidi="fa-IR"/>
        </w:rPr>
      </w:pPr>
      <w:r>
        <w:rPr>
          <w:rFonts w:cs="Abz-2 (Badr)" w:hint="cs"/>
          <w:color w:val="00B050"/>
          <w:sz w:val="28"/>
          <w:szCs w:val="28"/>
          <w:rtl/>
          <w:lang w:bidi="fa-IR"/>
        </w:rPr>
        <w:t>4</w:t>
      </w:r>
      <w:r>
        <w:rPr>
          <w:rFonts w:cs="Abz-2 (Badr)" w:hint="cs"/>
          <w:color w:val="000000" w:themeColor="text1"/>
          <w:sz w:val="28"/>
          <w:szCs w:val="28"/>
          <w:rtl/>
          <w:lang w:bidi="fa-IR"/>
        </w:rPr>
        <w:t xml:space="preserve"> ـ خبر عليّ بن بلال، قال: </w:t>
      </w:r>
      <w:r>
        <w:rPr>
          <w:rFonts w:ascii="Noor_Nazli" w:eastAsia="Times New Roman" w:hAnsi="Noor_Nazli" w:cs="Abz-2 (Badr)" w:hint="cs"/>
          <w:color w:val="70AD47" w:themeColor="accent6"/>
          <w:sz w:val="28"/>
          <w:szCs w:val="28"/>
          <w:rtl/>
          <w:lang w:bidi="ar"/>
        </w:rPr>
        <w:t>«لقي هشام بن الحكم بعض الخوارج فقال: يا هشام! ما تقول في العجم؟ يجوز أن يتزوّجوا في العرب؟ قال: نعم. قال: فالعرب يتزوّجوا من قريش؟ قال: نعم. قال: فقريش يتزوّج في بني هاشم؟ قال: نعم. قال: عمّن أخذت هذا؟ قال: عن جعفر بن محمّد(ع)، سمعته يقول: أتتكافأ دماؤكم ولا تتكافأ فروجكم؟ قال: فخرج الخارجي حتّى أتى أبا عبدالله(ع) فقال: إنّي لقيت هشاماً فسألته عن كذا فأخبرني بكذا وكذا وذكر أنّه سمعه منك. قال: نعم، قد قلت ذلك. فقال الخارجي: فها أنا ذا قد جئتك خاطباً. فقال له أبو عبدالله(ع): إنّك لكفو في دمك وحسبك في قومك، ولكنّ الله عزّ وجلّ صاننا عن الصدقة وهي أوساخ أيدي الناس، فنكره أن نشرك فيما فضّلنا الله به من لم يجعل الله له مثل ما جعل الله لنا. فقام الخارجي وهو يقول: تالله ما رأيت رجلاً مثله قطّ، ردّني والله أقبح ردّ وما خرج من قول صاحبه‌.»</w:t>
      </w:r>
      <w:r>
        <w:rPr>
          <w:rStyle w:val="FootnoteReference"/>
          <w:rFonts w:cs="Abz-2 (Badr)"/>
          <w:color w:val="000000" w:themeColor="text1"/>
          <w:sz w:val="28"/>
          <w:szCs w:val="28"/>
          <w:rtl/>
          <w:lang w:bidi="ar"/>
        </w:rPr>
        <w:footnoteReference w:id="8"/>
      </w:r>
    </w:p>
    <w:p w14:paraId="1FECDE9E" w14:textId="77777777" w:rsidR="00621462" w:rsidRDefault="00621462" w:rsidP="00621462">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علامه در مختلف</w:t>
      </w:r>
      <w:r>
        <w:rPr>
          <w:rStyle w:val="FootnoteReference"/>
          <w:rFonts w:cs="Abz-2 (Badr)"/>
          <w:color w:val="000000" w:themeColor="text1"/>
          <w:sz w:val="28"/>
          <w:szCs w:val="28"/>
          <w:rtl/>
          <w:lang w:bidi="ar"/>
        </w:rPr>
        <w:footnoteReference w:id="9"/>
      </w:r>
      <w:r>
        <w:rPr>
          <w:rFonts w:cs="Abz-2 (Badr)" w:hint="cs"/>
          <w:color w:val="000000" w:themeColor="text1"/>
          <w:sz w:val="28"/>
          <w:szCs w:val="28"/>
          <w:rtl/>
          <w:lang w:bidi="fa-IR"/>
        </w:rPr>
        <w:t xml:space="preserve"> فرموده است: ابن جنيد در مدعای خود مبنی بر اشتراط تمکن از نفقه در کفايت، به اين روايت استناد کرده است و سپس در اشکال بر آن می</w:t>
      </w:r>
      <w:r>
        <w:rPr>
          <w:rFonts w:cs="Abz-2 (Badr)" w:hint="cs"/>
          <w:color w:val="000000" w:themeColor="text1"/>
          <w:sz w:val="28"/>
          <w:szCs w:val="28"/>
          <w:rtl/>
          <w:lang w:bidi="fa-IR"/>
        </w:rPr>
        <w:softHyphen/>
        <w:t xml:space="preserve">فرمايد: اين روايت را بايد حمل بر اولويت نمود زيرا در موثّقه معاوية بن عمّار از أبي عبدالله(ع) آمده است‌: </w:t>
      </w:r>
      <w:r>
        <w:rPr>
          <w:rFonts w:ascii="Noor_Nazli" w:eastAsia="Times New Roman" w:hAnsi="Noor_Nazli" w:cs="Abz-2 (Badr)" w:hint="cs"/>
          <w:color w:val="70AD47" w:themeColor="accent6"/>
          <w:sz w:val="28"/>
          <w:szCs w:val="28"/>
          <w:rtl/>
          <w:lang w:bidi="ar"/>
        </w:rPr>
        <w:t>«إنّ رسول الله(ص) زوّج ضباعة بنت الزبير بن عبدالمطّلب من مقداد بن الأسود، فتكلّمت في ذلك بنو هاشم، فقال رسول الله(ص): إنّي إنّما أردت أن تتّضع المناكح.»</w:t>
      </w:r>
      <w:r>
        <w:rPr>
          <w:rStyle w:val="FootnoteReference"/>
          <w:rFonts w:cs="Abz-2 (Badr)"/>
          <w:color w:val="000000" w:themeColor="text1"/>
          <w:sz w:val="28"/>
          <w:szCs w:val="28"/>
          <w:rtl/>
          <w:lang w:bidi="ar"/>
        </w:rPr>
        <w:footnoteReference w:id="10"/>
      </w:r>
    </w:p>
    <w:p w14:paraId="5D250AC5" w14:textId="77777777" w:rsidR="00621462" w:rsidRDefault="00621462" w:rsidP="00621462">
      <w:pPr>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lastRenderedPageBreak/>
        <w:t>اما واضح است که موثقه معاوية بن عمار ارتباطی با اين بحث ندارد، زيرا ظاهر از آن اين است که اعتراض بنی هاشم از جهت حسب و نسب مقداد بوده است نه از جهت فقر وی.</w:t>
      </w:r>
    </w:p>
    <w:p w14:paraId="711B0A52" w14:textId="77777777" w:rsidR="00621462" w:rsidRDefault="00621462" w:rsidP="00621462">
      <w:pPr>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بنابر اين در پاسخ به مدعای ابن جنيد بايد گفت: خبر علی بن بلال _ با غض نظر از ضعف سندی آن ـ حداکثر دلالت بر جواز رد خواستگار دارد نه اشتراط تمکن از نفقه در کفايت.</w:t>
      </w:r>
    </w:p>
    <w:p w14:paraId="3567D510" w14:textId="77777777" w:rsidR="00621462" w:rsidRDefault="00621462" w:rsidP="00621462">
      <w:pPr>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آنچه که امام(ع) در پاسخ خارجی فرموده است نيز اين نيست که چون فاقد تمکن مالی هستی به تو دختر نمی</w:t>
      </w:r>
      <w:r>
        <w:rPr>
          <w:rFonts w:cs="Abz-2 (Badr)" w:hint="cs"/>
          <w:color w:val="000000" w:themeColor="text1"/>
          <w:sz w:val="28"/>
          <w:szCs w:val="28"/>
          <w:rtl/>
          <w:lang w:bidi="fa-IR"/>
        </w:rPr>
        <w:softHyphen/>
        <w:t>دهم، بلکه استدلال ايشان اين است که چون امکان دارد تو بخواهی از صدقاتی استفاده کنی که بر بنی هاشم حرام است و به واسطه اين که دارای زوجه هاشميه هستی، تو نيز نتوانی از صدقات استفاده کنی، خواستگاری تو را رد می</w:t>
      </w:r>
      <w:r>
        <w:rPr>
          <w:rFonts w:cs="Abz-2 (Badr)" w:hint="cs"/>
          <w:color w:val="000000" w:themeColor="text1"/>
          <w:sz w:val="28"/>
          <w:szCs w:val="28"/>
          <w:rtl/>
          <w:lang w:bidi="fa-IR"/>
        </w:rPr>
        <w:softHyphen/>
        <w:t>کنم، و اين مطلب ارتباطی به بحث ما ندارد.</w:t>
      </w:r>
    </w:p>
    <w:p w14:paraId="6B65A897" w14:textId="77777777" w:rsidR="00621462" w:rsidRDefault="00621462" w:rsidP="00621462">
      <w:pPr>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علاوه بر اين که واضح است که امام(ع) در مقام تقيّه اين مطلب را بيان کرده</w:t>
      </w:r>
      <w:r>
        <w:rPr>
          <w:rFonts w:cs="Abz-2 (Badr)" w:hint="cs"/>
          <w:color w:val="000000" w:themeColor="text1"/>
          <w:sz w:val="28"/>
          <w:szCs w:val="28"/>
          <w:rtl/>
          <w:lang w:bidi="fa-IR"/>
        </w:rPr>
        <w:softHyphen/>
        <w:t>اند، زيرا خواستگار خارجی بوده و خارجی در حکم کافر است و حق نکاح با زن مسلمه را ندارد، اما از آنجا که امام(ع) نمی</w:t>
      </w:r>
      <w:r>
        <w:rPr>
          <w:rFonts w:cs="Abz-2 (Badr)" w:hint="cs"/>
          <w:color w:val="000000" w:themeColor="text1"/>
          <w:sz w:val="28"/>
          <w:szCs w:val="28"/>
          <w:rtl/>
          <w:lang w:bidi="fa-IR"/>
        </w:rPr>
        <w:softHyphen/>
        <w:t>خواسته</w:t>
      </w:r>
      <w:r>
        <w:rPr>
          <w:rFonts w:cs="Abz-2 (Badr)" w:hint="cs"/>
          <w:color w:val="000000" w:themeColor="text1"/>
          <w:sz w:val="28"/>
          <w:szCs w:val="28"/>
          <w:rtl/>
          <w:lang w:bidi="fa-IR"/>
        </w:rPr>
        <w:softHyphen/>
        <w:t>اند چنين مطلبی را به وی بفرمايند، در مقام اسکات خصم تمسّک به مطلبی کرده</w:t>
      </w:r>
      <w:r>
        <w:rPr>
          <w:rFonts w:cs="Abz-2 (Badr)" w:hint="cs"/>
          <w:color w:val="000000" w:themeColor="text1"/>
          <w:sz w:val="28"/>
          <w:szCs w:val="28"/>
          <w:rtl/>
          <w:lang w:bidi="fa-IR"/>
        </w:rPr>
        <w:softHyphen/>
        <w:t>اند در روايت ذکر شده است.</w:t>
      </w:r>
    </w:p>
    <w:p w14:paraId="3601AAA2" w14:textId="77777777" w:rsidR="00621462" w:rsidRDefault="00621462" w:rsidP="00621462">
      <w:pPr>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بيان بقيه مطالب را به جلسه بعد واگذار می</w:t>
      </w:r>
      <w:r>
        <w:rPr>
          <w:rFonts w:cs="Abz-2 (Badr)" w:hint="cs"/>
          <w:color w:val="000000" w:themeColor="text1"/>
          <w:sz w:val="28"/>
          <w:szCs w:val="28"/>
          <w:rtl/>
          <w:lang w:bidi="fa-IR"/>
        </w:rPr>
        <w:softHyphen/>
        <w:t>کنيم ان شاء الله.</w:t>
      </w:r>
    </w:p>
    <w:p w14:paraId="78FBD367" w14:textId="77777777" w:rsidR="00621462" w:rsidRDefault="00621462" w:rsidP="00621462">
      <w:pPr>
        <w:bidi/>
        <w:spacing w:after="0"/>
        <w:ind w:firstLine="284"/>
        <w:jc w:val="both"/>
        <w:rPr>
          <w:rFonts w:cs="Abz-2 (Badr)" w:hint="cs"/>
          <w:color w:val="000000" w:themeColor="text1"/>
          <w:sz w:val="28"/>
          <w:szCs w:val="28"/>
          <w:rtl/>
          <w:lang w:bidi="fa-IR"/>
        </w:rPr>
      </w:pPr>
    </w:p>
    <w:p w14:paraId="7645A145" w14:textId="418D3C0F" w:rsidR="00EF1160" w:rsidRPr="00621462" w:rsidRDefault="00EF1160" w:rsidP="00621462">
      <w:pPr>
        <w:rPr>
          <w:rtl/>
        </w:rPr>
      </w:pPr>
    </w:p>
    <w:sectPr w:rsidR="00EF1160" w:rsidRPr="00621462"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8CCB4" w14:textId="77777777" w:rsidR="0058777C" w:rsidRDefault="0058777C" w:rsidP="00F71127">
      <w:pPr>
        <w:spacing w:after="0" w:line="240" w:lineRule="auto"/>
      </w:pPr>
      <w:r>
        <w:separator/>
      </w:r>
    </w:p>
  </w:endnote>
  <w:endnote w:type="continuationSeparator" w:id="0">
    <w:p w14:paraId="69AB6A86" w14:textId="77777777" w:rsidR="0058777C" w:rsidRDefault="0058777C"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F4F8E" w14:textId="77777777" w:rsidR="00621462" w:rsidRDefault="006214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EED65" w14:textId="77777777" w:rsidR="00621462" w:rsidRDefault="00621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26237" w14:textId="77777777" w:rsidR="0058777C" w:rsidRDefault="0058777C" w:rsidP="00EE25C0">
      <w:pPr>
        <w:bidi/>
        <w:spacing w:after="0" w:line="240" w:lineRule="auto"/>
      </w:pPr>
      <w:r>
        <w:separator/>
      </w:r>
    </w:p>
  </w:footnote>
  <w:footnote w:type="continuationSeparator" w:id="0">
    <w:p w14:paraId="50A90F16" w14:textId="77777777" w:rsidR="0058777C" w:rsidRDefault="0058777C" w:rsidP="00F71127">
      <w:pPr>
        <w:bidi/>
        <w:spacing w:after="0" w:line="240" w:lineRule="auto"/>
      </w:pPr>
      <w:r>
        <w:continuationSeparator/>
      </w:r>
    </w:p>
  </w:footnote>
  <w:footnote w:id="1">
    <w:p w14:paraId="6FEA0C5A" w14:textId="77777777" w:rsidR="00621462" w:rsidRDefault="00621462" w:rsidP="00621462">
      <w:pPr>
        <w:pStyle w:val="FootnoteText"/>
        <w:bidi/>
        <w:rPr>
          <w:rFonts w:cs="Abz-2 (Badr)" w:hint="cs"/>
          <w:rtl/>
          <w:lang w:bidi="fa-IR"/>
        </w:rPr>
      </w:pPr>
      <w:r>
        <w:rPr>
          <w:rStyle w:val="FootnoteReference"/>
          <w:rFonts w:cs="Abz-2 (Badr)"/>
        </w:rPr>
        <w:footnoteRef/>
      </w:r>
      <w:r>
        <w:rPr>
          <w:rFonts w:cs="Abz-2 (Badr)" w:hint="cs"/>
          <w:rtl/>
        </w:rPr>
        <w:t xml:space="preserve"> ـ نساء(4):25.</w:t>
      </w:r>
    </w:p>
  </w:footnote>
  <w:footnote w:id="2">
    <w:p w14:paraId="00E8D54E" w14:textId="77777777" w:rsidR="00621462" w:rsidRDefault="00621462" w:rsidP="00621462">
      <w:pPr>
        <w:pStyle w:val="FootnoteText"/>
        <w:bidi/>
        <w:rPr>
          <w:rFonts w:cs="Abz-2 (Badr)" w:hint="cs"/>
          <w:rtl/>
          <w:lang w:bidi="fa-IR"/>
        </w:rPr>
      </w:pPr>
      <w:r>
        <w:rPr>
          <w:rStyle w:val="FootnoteReference"/>
          <w:rFonts w:cs="Abz-2 (Badr)"/>
        </w:rPr>
        <w:footnoteRef/>
      </w:r>
      <w:r>
        <w:rPr>
          <w:rFonts w:cs="Abz-2 (Badr)" w:hint="cs"/>
          <w:rtl/>
        </w:rPr>
        <w:t xml:space="preserve"> ـ جواهر الکلام،ج30،ص103.</w:t>
      </w:r>
    </w:p>
  </w:footnote>
  <w:footnote w:id="3">
    <w:p w14:paraId="7F4BC781" w14:textId="77777777" w:rsidR="00621462" w:rsidRDefault="00621462" w:rsidP="00621462">
      <w:pPr>
        <w:pStyle w:val="FootnoteText"/>
        <w:bidi/>
        <w:rPr>
          <w:rFonts w:cs="Abz-2 (Badr)" w:hint="cs"/>
          <w:rtl/>
          <w:lang w:bidi="fa-IR"/>
        </w:rPr>
      </w:pPr>
      <w:r>
        <w:rPr>
          <w:rStyle w:val="FootnoteReference"/>
          <w:rFonts w:cs="Abz-2 (Badr)"/>
        </w:rPr>
        <w:footnoteRef/>
      </w:r>
      <w:r>
        <w:rPr>
          <w:rFonts w:cs="Abz-2 (Badr)" w:hint="cs"/>
          <w:rtl/>
        </w:rPr>
        <w:t xml:space="preserve"> ـ همان،ص104.</w:t>
      </w:r>
    </w:p>
  </w:footnote>
  <w:footnote w:id="4">
    <w:p w14:paraId="1931AC95" w14:textId="77777777" w:rsidR="00621462" w:rsidRDefault="00621462" w:rsidP="00621462">
      <w:pPr>
        <w:pStyle w:val="FootnoteText"/>
        <w:bidi/>
        <w:rPr>
          <w:rFonts w:cs="Abz-2 (Badr)" w:hint="cs"/>
          <w:rtl/>
          <w:lang w:bidi="fa-IR"/>
        </w:rPr>
      </w:pPr>
      <w:r>
        <w:rPr>
          <w:rStyle w:val="FootnoteReference"/>
          <w:rFonts w:cs="Abz-2 (Badr)"/>
        </w:rPr>
        <w:footnoteRef/>
      </w:r>
      <w:r>
        <w:rPr>
          <w:rFonts w:cs="Abz-2 (Badr)" w:hint="cs"/>
          <w:rtl/>
        </w:rPr>
        <w:t xml:space="preserve"> ـ کافی،ج5،ص347، باب الکفؤ،ح1ـ وسائل الشيعة، الباب 28 من أبواب مقدّمات النکاح وأبوابه،ح4،ج20،ص78.</w:t>
      </w:r>
    </w:p>
  </w:footnote>
  <w:footnote w:id="5">
    <w:p w14:paraId="21B693CB" w14:textId="77777777" w:rsidR="00621462" w:rsidRDefault="00621462" w:rsidP="00621462">
      <w:pPr>
        <w:pStyle w:val="FootnoteText"/>
        <w:bidi/>
        <w:rPr>
          <w:rFonts w:cs="Abz-2 (Badr)" w:hint="cs"/>
          <w:rtl/>
          <w:lang w:bidi="fa-IR"/>
        </w:rPr>
      </w:pPr>
      <w:r>
        <w:rPr>
          <w:rStyle w:val="FootnoteReference"/>
          <w:rFonts w:cs="Abz-2 (Badr)"/>
        </w:rPr>
        <w:footnoteRef/>
      </w:r>
      <w:r>
        <w:rPr>
          <w:rFonts w:cs="Abz-2 (Badr)" w:hint="cs"/>
          <w:rtl/>
        </w:rPr>
        <w:t xml:space="preserve"> ـ تهذيب الأحکام،ج7،ص394،ح1577ـ وسائل الشيعة، المصدر السابق،ح5.</w:t>
      </w:r>
    </w:p>
  </w:footnote>
  <w:footnote w:id="6">
    <w:p w14:paraId="7450870B" w14:textId="77777777" w:rsidR="00621462" w:rsidRDefault="00621462" w:rsidP="00621462">
      <w:pPr>
        <w:pStyle w:val="FootnoteText"/>
        <w:bidi/>
        <w:rPr>
          <w:rFonts w:cs="Abz-2 (Badr)" w:hint="cs"/>
          <w:rtl/>
          <w:lang w:bidi="fa-IR"/>
        </w:rPr>
      </w:pPr>
      <w:r>
        <w:rPr>
          <w:rStyle w:val="FootnoteReference"/>
          <w:rFonts w:cs="Abz-2 (Badr)"/>
        </w:rPr>
        <w:footnoteRef/>
      </w:r>
      <w:r>
        <w:rPr>
          <w:rFonts w:cs="Abz-2 (Badr)" w:hint="cs"/>
          <w:rtl/>
        </w:rPr>
        <w:t xml:space="preserve"> ـ تهذيب الأحکام،ج7،ص394،ح1579ـ وسائل الشيعة، المصدر السابق،ح7،ص78 و 79.</w:t>
      </w:r>
    </w:p>
  </w:footnote>
  <w:footnote w:id="7">
    <w:p w14:paraId="5059A8F5" w14:textId="77777777" w:rsidR="00621462" w:rsidRDefault="00621462" w:rsidP="00621462">
      <w:pPr>
        <w:pStyle w:val="FootnoteText"/>
        <w:bidi/>
        <w:rPr>
          <w:rFonts w:cs="Abz-2 (Badr)" w:hint="cs"/>
          <w:rtl/>
          <w:lang w:bidi="fa-IR"/>
        </w:rPr>
      </w:pPr>
      <w:r>
        <w:rPr>
          <w:rStyle w:val="FootnoteReference"/>
          <w:rFonts w:cs="Abz-2 (Badr)"/>
        </w:rPr>
        <w:footnoteRef/>
      </w:r>
      <w:r>
        <w:rPr>
          <w:rFonts w:cs="Abz-2 (Badr)" w:hint="cs"/>
          <w:rtl/>
        </w:rPr>
        <w:t xml:space="preserve"> ـ الموطّأ،ج4،ص836 و 837،ح519 ـ صحيح مسلم،ج2،ص1114،ح36.</w:t>
      </w:r>
    </w:p>
  </w:footnote>
  <w:footnote w:id="8">
    <w:p w14:paraId="1AB39181" w14:textId="77777777" w:rsidR="00621462" w:rsidRDefault="00621462" w:rsidP="00621462">
      <w:pPr>
        <w:pStyle w:val="FootnoteText"/>
        <w:bidi/>
        <w:rPr>
          <w:rFonts w:cs="Abz-2 (Badr)" w:hint="cs"/>
          <w:rtl/>
          <w:lang w:bidi="fa-IR"/>
        </w:rPr>
      </w:pPr>
      <w:r>
        <w:rPr>
          <w:rStyle w:val="FootnoteReference"/>
          <w:rFonts w:cs="Abz-2 (Badr)"/>
        </w:rPr>
        <w:footnoteRef/>
      </w:r>
      <w:r>
        <w:rPr>
          <w:rFonts w:cs="Abz-2 (Badr)" w:hint="cs"/>
          <w:rtl/>
        </w:rPr>
        <w:t xml:space="preserve"> ـ الکافي،ج5،ص345،ح5 ـ وسائل الشيعة، الباب 26 من أبواب مقدّمات النکاح وآدابه،ح3،ج20،ص70.</w:t>
      </w:r>
    </w:p>
  </w:footnote>
  <w:footnote w:id="9">
    <w:p w14:paraId="75E1B4D0" w14:textId="77777777" w:rsidR="00621462" w:rsidRDefault="00621462" w:rsidP="00621462">
      <w:pPr>
        <w:pStyle w:val="FootnoteText"/>
        <w:bidi/>
        <w:rPr>
          <w:rFonts w:cs="Abz-2 (Badr)" w:hint="cs"/>
          <w:rtl/>
          <w:lang w:bidi="fa-IR"/>
        </w:rPr>
      </w:pPr>
      <w:r>
        <w:rPr>
          <w:rStyle w:val="FootnoteReference"/>
          <w:rFonts w:cs="Abz-2 (Badr)"/>
        </w:rPr>
        <w:footnoteRef/>
      </w:r>
      <w:r>
        <w:rPr>
          <w:rFonts w:cs="Abz-2 (Badr)" w:hint="cs"/>
          <w:rtl/>
        </w:rPr>
        <w:t xml:space="preserve"> ـ مختلف الشيعة،ج7،ص301 و 302.</w:t>
      </w:r>
    </w:p>
  </w:footnote>
  <w:footnote w:id="10">
    <w:p w14:paraId="6EE27D2E" w14:textId="77777777" w:rsidR="00621462" w:rsidRDefault="00621462" w:rsidP="00621462">
      <w:pPr>
        <w:pStyle w:val="FootnoteText"/>
        <w:bidi/>
        <w:rPr>
          <w:rFonts w:cs="Abz-2 (Badr)" w:hint="cs"/>
          <w:rtl/>
          <w:lang w:bidi="fa-IR"/>
        </w:rPr>
      </w:pPr>
      <w:r>
        <w:rPr>
          <w:rStyle w:val="FootnoteReference"/>
          <w:rFonts w:cs="Abz-2 (Badr)"/>
        </w:rPr>
        <w:footnoteRef/>
      </w:r>
      <w:r>
        <w:rPr>
          <w:rFonts w:cs="Abz-2 (Badr)" w:hint="cs"/>
          <w:rtl/>
        </w:rPr>
        <w:t xml:space="preserve"> ـ تهذيب الأحکام،ج7،ص395،ح1581 ـ وسائل الشيعة، الباب 26 من أبواب مقدّمات النکاح وآدابه،ح5،ج20،ص70.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ACA1" w14:textId="77777777" w:rsidR="00621462" w:rsidRDefault="006214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43ED4003"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21462">
                            <w:rPr>
                              <w:rFonts w:cs="B Mehr" w:hint="cs"/>
                              <w:rtl/>
                              <w:lang w:bidi="fa-IR"/>
                            </w:rPr>
                            <w:t>دو</w:t>
                          </w:r>
                          <w:r w:rsidR="00EF1160">
                            <w:rPr>
                              <w:rFonts w:cs="B Mehr" w:hint="cs"/>
                              <w:rtl/>
                              <w:lang w:bidi="fa-IR"/>
                            </w:rPr>
                            <w:t xml:space="preserve"> شنبه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621462">
                            <w:rPr>
                              <w:rFonts w:cs="B Mehr" w:hint="cs"/>
                              <w:rtl/>
                              <w:lang w:bidi="fa-IR"/>
                            </w:rPr>
                            <w:t>07</w:t>
                          </w:r>
                          <w:r w:rsidR="00EF1160">
                            <w:rPr>
                              <w:rFonts w:cs="B Mehr" w:hint="cs"/>
                              <w:rtl/>
                              <w:lang w:bidi="fa-IR"/>
                            </w:rPr>
                            <w:t xml:space="preserve"> اردیبهشت ماه</w:t>
                          </w:r>
                          <w:r>
                            <w:rPr>
                              <w:rFonts w:cs="B Mehr" w:hint="cs"/>
                              <w:rtl/>
                            </w:rPr>
                            <w:t xml:space="preserve">  -</w:t>
                          </w:r>
                          <w:r w:rsidR="00EF1160">
                            <w:rPr>
                              <w:rFonts w:cs="B Mehr" w:hint="cs"/>
                              <w:rtl/>
                            </w:rPr>
                            <w:t xml:space="preserve"> </w:t>
                          </w:r>
                          <w:r>
                            <w:rPr>
                              <w:rFonts w:cs="B Mehr" w:hint="cs"/>
                              <w:rtl/>
                            </w:rPr>
                            <w:t>140</w:t>
                          </w:r>
                          <w:r w:rsidR="00EF1160">
                            <w:rPr>
                              <w:rFonts w:cs="B Mehr" w:hint="cs"/>
                              <w:rtl/>
                            </w:rPr>
                            <w:t xml:space="preserve">5 </w:t>
                          </w:r>
                          <w:r>
                            <w:rPr>
                              <w:rFonts w:cs="B Mehr" w:hint="cs"/>
                              <w:rtl/>
                            </w:rPr>
                            <w:t>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43ED4003"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21462">
                      <w:rPr>
                        <w:rFonts w:cs="B Mehr" w:hint="cs"/>
                        <w:rtl/>
                        <w:lang w:bidi="fa-IR"/>
                      </w:rPr>
                      <w:t>دو</w:t>
                    </w:r>
                    <w:r w:rsidR="00EF1160">
                      <w:rPr>
                        <w:rFonts w:cs="B Mehr" w:hint="cs"/>
                        <w:rtl/>
                        <w:lang w:bidi="fa-IR"/>
                      </w:rPr>
                      <w:t xml:space="preserve"> شنبه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621462">
                      <w:rPr>
                        <w:rFonts w:cs="B Mehr" w:hint="cs"/>
                        <w:rtl/>
                        <w:lang w:bidi="fa-IR"/>
                      </w:rPr>
                      <w:t>07</w:t>
                    </w:r>
                    <w:r w:rsidR="00EF1160">
                      <w:rPr>
                        <w:rFonts w:cs="B Mehr" w:hint="cs"/>
                        <w:rtl/>
                        <w:lang w:bidi="fa-IR"/>
                      </w:rPr>
                      <w:t xml:space="preserve"> اردیبهشت ماه</w:t>
                    </w:r>
                    <w:r>
                      <w:rPr>
                        <w:rFonts w:cs="B Mehr" w:hint="cs"/>
                        <w:rtl/>
                      </w:rPr>
                      <w:t xml:space="preserve">  -</w:t>
                    </w:r>
                    <w:r w:rsidR="00EF1160">
                      <w:rPr>
                        <w:rFonts w:cs="B Mehr" w:hint="cs"/>
                        <w:rtl/>
                      </w:rPr>
                      <w:t xml:space="preserve"> </w:t>
                    </w:r>
                    <w:r>
                      <w:rPr>
                        <w:rFonts w:cs="B Mehr" w:hint="cs"/>
                        <w:rtl/>
                      </w:rPr>
                      <w:t>140</w:t>
                    </w:r>
                    <w:r w:rsidR="00EF1160">
                      <w:rPr>
                        <w:rFonts w:cs="B Mehr" w:hint="cs"/>
                        <w:rtl/>
                      </w:rPr>
                      <w:t xml:space="preserve">5 </w:t>
                    </w:r>
                    <w:r>
                      <w:rPr>
                        <w:rFonts w:cs="B Mehr" w:hint="cs"/>
                        <w:rtl/>
                      </w:rPr>
                      <w:t>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7FEBA" w14:textId="77777777" w:rsidR="00621462" w:rsidRDefault="006214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46AC"/>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1410"/>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6D6"/>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256"/>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1D24"/>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355"/>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D41"/>
    <w:rsid w:val="002F5EFD"/>
    <w:rsid w:val="002F68B2"/>
    <w:rsid w:val="002F77A0"/>
    <w:rsid w:val="003000EA"/>
    <w:rsid w:val="003008CA"/>
    <w:rsid w:val="003014A6"/>
    <w:rsid w:val="00301DEE"/>
    <w:rsid w:val="0030209B"/>
    <w:rsid w:val="00302BC6"/>
    <w:rsid w:val="003031E0"/>
    <w:rsid w:val="0030349F"/>
    <w:rsid w:val="00303843"/>
    <w:rsid w:val="00303B1E"/>
    <w:rsid w:val="00303B68"/>
    <w:rsid w:val="003043E1"/>
    <w:rsid w:val="00305CA4"/>
    <w:rsid w:val="003060A2"/>
    <w:rsid w:val="00306BE3"/>
    <w:rsid w:val="00306D9E"/>
    <w:rsid w:val="00306DD3"/>
    <w:rsid w:val="00306FE4"/>
    <w:rsid w:val="003071D5"/>
    <w:rsid w:val="003075E0"/>
    <w:rsid w:val="003077B0"/>
    <w:rsid w:val="003102D3"/>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691"/>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422"/>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B2"/>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68A"/>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6DA2"/>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77C"/>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5C9"/>
    <w:rsid w:val="006128E0"/>
    <w:rsid w:val="0061359C"/>
    <w:rsid w:val="00613A42"/>
    <w:rsid w:val="00614607"/>
    <w:rsid w:val="006150CD"/>
    <w:rsid w:val="00615B16"/>
    <w:rsid w:val="00615E80"/>
    <w:rsid w:val="00616AD6"/>
    <w:rsid w:val="00617B05"/>
    <w:rsid w:val="00617C4E"/>
    <w:rsid w:val="00617E4E"/>
    <w:rsid w:val="00617EB0"/>
    <w:rsid w:val="00621462"/>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1EBE"/>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1E81"/>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59"/>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2FE"/>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2D31"/>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6F34"/>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9F6"/>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4FE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324"/>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C7D63"/>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A4"/>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998"/>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1160"/>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26B"/>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4D5"/>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051892">
      <w:bodyDiv w:val="1"/>
      <w:marLeft w:val="0"/>
      <w:marRight w:val="0"/>
      <w:marTop w:val="0"/>
      <w:marBottom w:val="0"/>
      <w:divBdr>
        <w:top w:val="none" w:sz="0" w:space="0" w:color="auto"/>
        <w:left w:val="none" w:sz="0" w:space="0" w:color="auto"/>
        <w:bottom w:val="none" w:sz="0" w:space="0" w:color="auto"/>
        <w:right w:val="none" w:sz="0" w:space="0" w:color="auto"/>
      </w:divBdr>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053424">
      <w:bodyDiv w:val="1"/>
      <w:marLeft w:val="0"/>
      <w:marRight w:val="0"/>
      <w:marTop w:val="0"/>
      <w:marBottom w:val="0"/>
      <w:divBdr>
        <w:top w:val="none" w:sz="0" w:space="0" w:color="auto"/>
        <w:left w:val="none" w:sz="0" w:space="0" w:color="auto"/>
        <w:bottom w:val="none" w:sz="0" w:space="0" w:color="auto"/>
        <w:right w:val="none" w:sz="0" w:space="0" w:color="auto"/>
      </w:divBdr>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27798709">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7870822">
      <w:bodyDiv w:val="1"/>
      <w:marLeft w:val="0"/>
      <w:marRight w:val="0"/>
      <w:marTop w:val="0"/>
      <w:marBottom w:val="0"/>
      <w:divBdr>
        <w:top w:val="none" w:sz="0" w:space="0" w:color="auto"/>
        <w:left w:val="none" w:sz="0" w:space="0" w:color="auto"/>
        <w:bottom w:val="none" w:sz="0" w:space="0" w:color="auto"/>
        <w:right w:val="none" w:sz="0" w:space="0" w:color="auto"/>
      </w:divBdr>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225235">
      <w:bodyDiv w:val="1"/>
      <w:marLeft w:val="0"/>
      <w:marRight w:val="0"/>
      <w:marTop w:val="0"/>
      <w:marBottom w:val="0"/>
      <w:divBdr>
        <w:top w:val="none" w:sz="0" w:space="0" w:color="auto"/>
        <w:left w:val="none" w:sz="0" w:space="0" w:color="auto"/>
        <w:bottom w:val="none" w:sz="0" w:space="0" w:color="auto"/>
        <w:right w:val="none" w:sz="0" w:space="0" w:color="auto"/>
      </w:divBdr>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0971627">
      <w:bodyDiv w:val="1"/>
      <w:marLeft w:val="0"/>
      <w:marRight w:val="0"/>
      <w:marTop w:val="0"/>
      <w:marBottom w:val="0"/>
      <w:divBdr>
        <w:top w:val="none" w:sz="0" w:space="0" w:color="auto"/>
        <w:left w:val="none" w:sz="0" w:space="0" w:color="auto"/>
        <w:bottom w:val="none" w:sz="0" w:space="0" w:color="auto"/>
        <w:right w:val="none" w:sz="0" w:space="0" w:color="auto"/>
      </w:divBdr>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876054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88467434">
      <w:bodyDiv w:val="1"/>
      <w:marLeft w:val="0"/>
      <w:marRight w:val="0"/>
      <w:marTop w:val="0"/>
      <w:marBottom w:val="0"/>
      <w:divBdr>
        <w:top w:val="none" w:sz="0" w:space="0" w:color="auto"/>
        <w:left w:val="none" w:sz="0" w:space="0" w:color="auto"/>
        <w:bottom w:val="none" w:sz="0" w:space="0" w:color="auto"/>
        <w:right w:val="none" w:sz="0" w:space="0" w:color="auto"/>
      </w:divBdr>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520197">
      <w:bodyDiv w:val="1"/>
      <w:marLeft w:val="0"/>
      <w:marRight w:val="0"/>
      <w:marTop w:val="0"/>
      <w:marBottom w:val="0"/>
      <w:divBdr>
        <w:top w:val="none" w:sz="0" w:space="0" w:color="auto"/>
        <w:left w:val="none" w:sz="0" w:space="0" w:color="auto"/>
        <w:bottom w:val="none" w:sz="0" w:space="0" w:color="auto"/>
        <w:right w:val="none" w:sz="0" w:space="0" w:color="auto"/>
      </w:divBdr>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5238555">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0920012">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306833">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21745</TotalTime>
  <Pages>1</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745</cp:revision>
  <cp:lastPrinted>2025-04-14T09:12:00Z</cp:lastPrinted>
  <dcterms:created xsi:type="dcterms:W3CDTF">2022-10-16T08:36:00Z</dcterms:created>
  <dcterms:modified xsi:type="dcterms:W3CDTF">2026-04-28T07:43:00Z</dcterms:modified>
</cp:coreProperties>
</file>