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7D23" w14:textId="77777777" w:rsidR="00661EBE" w:rsidRDefault="00661EBE" w:rsidP="00661EBE">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3E2256B2" w14:textId="77777777" w:rsidR="00661EBE" w:rsidRDefault="00661EBE" w:rsidP="00661EBE">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4664C03C" w14:textId="77777777" w:rsidR="00661EBE" w:rsidRDefault="00661EBE" w:rsidP="00661EBE">
      <w:pPr>
        <w:widowControl w:val="0"/>
        <w:bidi/>
        <w:spacing w:after="0"/>
        <w:jc w:val="center"/>
        <w:rPr>
          <w:rFonts w:cs="B Mitra" w:hint="cs"/>
          <w:b/>
          <w:bCs/>
          <w:sz w:val="32"/>
          <w:szCs w:val="32"/>
          <w:rtl/>
        </w:rPr>
      </w:pPr>
      <w:r>
        <w:rPr>
          <w:rFonts w:cs="B Mitra" w:hint="cs"/>
          <w:b/>
          <w:bCs/>
          <w:sz w:val="32"/>
          <w:szCs w:val="32"/>
          <w:rtl/>
          <w:lang w:bidi="fa-IR"/>
        </w:rPr>
        <w:t>جلسه 917</w:t>
      </w:r>
    </w:p>
    <w:p w14:paraId="222F98E9" w14:textId="77777777" w:rsidR="00661EBE" w:rsidRDefault="00661EBE" w:rsidP="00661EBE">
      <w:pPr>
        <w:widowControl w:val="0"/>
        <w:bidi/>
        <w:spacing w:after="0"/>
        <w:ind w:firstLine="284"/>
        <w:jc w:val="both"/>
        <w:rPr>
          <w:rFonts w:cs="Abz-2 (Badr)" w:hint="cs"/>
          <w:color w:val="000000" w:themeColor="text1"/>
          <w:sz w:val="28"/>
          <w:szCs w:val="28"/>
          <w:rtl/>
          <w:lang w:bidi="fa-IR"/>
        </w:rPr>
      </w:pPr>
      <w:bookmarkStart w:id="0" w:name="_Hlk159096966"/>
    </w:p>
    <w:p w14:paraId="1709F7B1" w14:textId="77777777" w:rsidR="00661EBE" w:rsidRDefault="00661EBE" w:rsidP="00661EBE">
      <w:pPr>
        <w:widowControl w:val="0"/>
        <w:bidi/>
        <w:spacing w:after="0"/>
        <w:ind w:firstLine="284"/>
        <w:jc w:val="both"/>
        <w:rPr>
          <w:rFonts w:cs="Abz-2 (Badr)" w:hint="cs"/>
          <w:color w:val="000000" w:themeColor="text1"/>
          <w:spacing w:val="-4"/>
          <w:sz w:val="28"/>
          <w:szCs w:val="28"/>
          <w:rtl/>
          <w:lang w:bidi="fa-IR"/>
        </w:rPr>
      </w:pPr>
      <w:bookmarkStart w:id="1" w:name="_Hlk217813422"/>
      <w:bookmarkStart w:id="2" w:name="_Hlk217856631"/>
      <w:bookmarkEnd w:id="0"/>
      <w:r>
        <w:rPr>
          <w:rFonts w:cs="Abz-2 (Badr)" w:hint="cs"/>
          <w:color w:val="000000" w:themeColor="text1"/>
          <w:spacing w:val="-4"/>
          <w:sz w:val="28"/>
          <w:szCs w:val="28"/>
          <w:rtl/>
          <w:lang w:bidi="fa-IR"/>
        </w:rPr>
        <w:t>گفتيم که اگر زوجه مدعی انقضاء عده به واسطه وضع حمل باشد و زوج مدعی بقاء آن بوده و بر مدعای خود اقامه بينه کند، ممکن است گفته شود: زوجه حتی در صورتی که زوج به وی رجوع نمايد، مستحق نفقه نخواهد بود.</w:t>
      </w:r>
    </w:p>
    <w:p w14:paraId="746FFAFE" w14:textId="77777777" w:rsidR="00661EBE" w:rsidRDefault="00661EBE" w:rsidP="00661EBE">
      <w:pPr>
        <w:widowControl w:val="0"/>
        <w:bidi/>
        <w:spacing w:after="0"/>
        <w:ind w:firstLine="284"/>
        <w:jc w:val="both"/>
        <w:rPr>
          <w:rFonts w:cs="Abz-2 (Badr)" w:hint="cs"/>
          <w:color w:val="000000" w:themeColor="text1"/>
          <w:spacing w:val="-4"/>
          <w:sz w:val="28"/>
          <w:szCs w:val="28"/>
          <w:rtl/>
          <w:lang w:bidi="fa-IR"/>
        </w:rPr>
      </w:pPr>
      <w:r>
        <w:rPr>
          <w:rFonts w:cs="Abz-2 (Badr)" w:hint="cs"/>
          <w:color w:val="000000" w:themeColor="text1"/>
          <w:spacing w:val="-4"/>
          <w:sz w:val="28"/>
          <w:szCs w:val="28"/>
          <w:rtl/>
          <w:lang w:bidi="fa-IR"/>
        </w:rPr>
        <w:t>اما در پاسخ به اين مدعا می</w:t>
      </w:r>
      <w:r>
        <w:rPr>
          <w:rFonts w:cs="Abz-2 (Badr)" w:hint="cs"/>
          <w:color w:val="000000" w:themeColor="text1"/>
          <w:spacing w:val="-4"/>
          <w:sz w:val="28"/>
          <w:szCs w:val="28"/>
          <w:rtl/>
          <w:lang w:bidi="fa-IR"/>
        </w:rPr>
        <w:softHyphen/>
        <w:t>توان گفت که عدم جواز معلقه نگه داشتن زن، دلالت بر اين دارد که بر زوج واجب است که نفقه او را بپردازد، زيرا نگه داری زن به عنوان زوجه و در عين حال نفقه ندادن به وی، به معنای معلقه نگه داشتن وی است.</w:t>
      </w:r>
    </w:p>
    <w:p w14:paraId="06FCDD3C" w14:textId="77777777" w:rsidR="00661EBE" w:rsidRDefault="00661EBE" w:rsidP="00661EBE">
      <w:pPr>
        <w:widowControl w:val="0"/>
        <w:bidi/>
        <w:spacing w:after="0"/>
        <w:ind w:firstLine="284"/>
        <w:jc w:val="both"/>
        <w:rPr>
          <w:rFonts w:cs="Abz-2 (Badr)" w:hint="cs"/>
          <w:color w:val="000000" w:themeColor="text1"/>
          <w:spacing w:val="-4"/>
          <w:sz w:val="28"/>
          <w:szCs w:val="28"/>
          <w:rtl/>
          <w:lang w:bidi="fa-IR"/>
        </w:rPr>
      </w:pPr>
      <w:r>
        <w:rPr>
          <w:rFonts w:cs="Abz-2 (Badr)" w:hint="cs"/>
          <w:color w:val="000000" w:themeColor="text1"/>
          <w:spacing w:val="-4"/>
          <w:sz w:val="28"/>
          <w:szCs w:val="28"/>
          <w:rtl/>
          <w:lang w:bidi="fa-IR"/>
        </w:rPr>
        <w:t>عدم تمکين زوجه نيز از آنجا که مستند به حکم شرعی است، نمی</w:t>
      </w:r>
      <w:r>
        <w:rPr>
          <w:rFonts w:cs="Abz-2 (Badr)" w:hint="cs"/>
          <w:color w:val="000000" w:themeColor="text1"/>
          <w:spacing w:val="-4"/>
          <w:sz w:val="28"/>
          <w:szCs w:val="28"/>
          <w:rtl/>
          <w:lang w:bidi="fa-IR"/>
        </w:rPr>
        <w:softHyphen/>
        <w:t>تواند سبب سقوط نفقه وی گردد، همان گونه که عدم تمکين در زمان حيض مستلزم سقوط نفقه نمی</w:t>
      </w:r>
      <w:r>
        <w:rPr>
          <w:rFonts w:cs="Abz-2 (Badr)" w:hint="cs"/>
          <w:color w:val="000000" w:themeColor="text1"/>
          <w:spacing w:val="-4"/>
          <w:sz w:val="28"/>
          <w:szCs w:val="28"/>
          <w:rtl/>
          <w:lang w:bidi="fa-IR"/>
        </w:rPr>
        <w:softHyphen/>
        <w:t>باشد.</w:t>
      </w:r>
    </w:p>
    <w:p w14:paraId="2DBFFD1F" w14:textId="77777777" w:rsidR="00661EBE" w:rsidRDefault="00661EBE" w:rsidP="00661EB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کلام محقق در اين مقام مطلق است و ايشان فرقی بين حالتی که تاريخ طلاق و وضع حمل هر دو مجهول باشد با اين که تاريخ يکی از آن دو معلوم باشد و تاريخ ديگری مجهول، نگذاشته</w:t>
      </w:r>
      <w:r>
        <w:rPr>
          <w:rFonts w:cs="Abz-2 (Badr)" w:hint="cs"/>
          <w:color w:val="000000" w:themeColor="text1"/>
          <w:sz w:val="28"/>
          <w:szCs w:val="28"/>
          <w:rtl/>
          <w:lang w:bidi="fa-IR"/>
        </w:rPr>
        <w:softHyphen/>
        <w:t>اند.</w:t>
      </w:r>
    </w:p>
    <w:p w14:paraId="395E5C30" w14:textId="77777777" w:rsidR="00661EBE" w:rsidRDefault="00661EBE" w:rsidP="00661EBE">
      <w:pPr>
        <w:widowControl w:val="0"/>
        <w:bidi/>
        <w:spacing w:after="0"/>
        <w:ind w:firstLine="284"/>
        <w:jc w:val="both"/>
        <w:rPr>
          <w:rFonts w:cs="Abz-2 (Badr)" w:hint="cs"/>
          <w:color w:val="0070C0"/>
          <w:spacing w:val="-4"/>
          <w:sz w:val="28"/>
          <w:szCs w:val="28"/>
          <w:rtl/>
          <w:lang w:bidi="ar"/>
        </w:rPr>
      </w:pPr>
      <w:r>
        <w:rPr>
          <w:rFonts w:cs="Abz-2 (Badr)" w:hint="cs"/>
          <w:color w:val="000000" w:themeColor="text1"/>
          <w:spacing w:val="-4"/>
          <w:sz w:val="28"/>
          <w:szCs w:val="28"/>
          <w:rtl/>
          <w:lang w:bidi="fa-IR"/>
        </w:rPr>
        <w:t xml:space="preserve">ولی شهيد ثانی فرموده است: </w:t>
      </w:r>
      <w:r>
        <w:rPr>
          <w:rFonts w:cs="Abz-2 (Badr)" w:hint="cs"/>
          <w:color w:val="0070C0"/>
          <w:spacing w:val="-4"/>
          <w:sz w:val="28"/>
          <w:szCs w:val="28"/>
          <w:rtl/>
          <w:lang w:bidi="fa-IR"/>
        </w:rPr>
        <w:t>«</w:t>
      </w:r>
      <w:r>
        <w:rPr>
          <w:rFonts w:cs="Abz-2 (Badr)" w:hint="cs"/>
          <w:color w:val="0070C0"/>
          <w:spacing w:val="-4"/>
          <w:sz w:val="28"/>
          <w:szCs w:val="28"/>
          <w:rtl/>
          <w:lang w:bidi="ar"/>
        </w:rPr>
        <w:t>لو قيل بتخصيص هذا الحكم بما إذا لم يعيّنا زماناً لهما، أمّا لو اتّفقا على زمان أحدهما واختلفا في تقدّم الآخر وتأخّره فالقول قول مدّعي تأخّره مطلقاً، لأصالة عدم تقدّمه واستقرار حال ما اتّفقا عليه، كان حسناً.</w:t>
      </w:r>
    </w:p>
    <w:p w14:paraId="740373AD" w14:textId="77777777" w:rsidR="00661EBE" w:rsidRDefault="00661EBE" w:rsidP="00661EBE">
      <w:pPr>
        <w:widowControl w:val="0"/>
        <w:bidi/>
        <w:spacing w:after="0"/>
        <w:ind w:firstLine="284"/>
        <w:jc w:val="both"/>
        <w:rPr>
          <w:rFonts w:cs="Abz-2 (Badr)" w:hint="cs"/>
          <w:color w:val="0070C0"/>
          <w:sz w:val="28"/>
          <w:szCs w:val="28"/>
          <w:rtl/>
          <w:lang w:bidi="ar"/>
        </w:rPr>
      </w:pPr>
      <w:r>
        <w:rPr>
          <w:rFonts w:cs="Abz-2 (Badr)" w:hint="cs"/>
          <w:color w:val="0070C0"/>
          <w:sz w:val="28"/>
          <w:szCs w:val="28"/>
          <w:rtl/>
          <w:lang w:bidi="ar"/>
        </w:rPr>
        <w:t>فلو فرض اتّفاقهما على أنّ الطلاق وقع يوم الجمعة واختلفا في زمان الوضع، فادّعت أنّه وقع يوم الخميس في المسألة الأُولى وادّعى وقوعه يوم السبت مثلاً، فالقول قوله، لأصالة عدم تقدّم الوضع. ولو انعكست الدعوى فالقول قولها لما ذكر. ولو اتّفقا على وقوع الوضع يوم الجمعة واختلفا في تقدّم الطلاق وتأخّره، فالقول قول مدّعي التأخّر في المسألتين.</w:t>
      </w:r>
    </w:p>
    <w:p w14:paraId="4379B6AC"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70C0"/>
          <w:sz w:val="28"/>
          <w:szCs w:val="28"/>
          <w:rtl/>
          <w:lang w:bidi="ar"/>
        </w:rPr>
        <w:t xml:space="preserve">وربما قيل بأنه مع الاتّفاق على وقت أحدهما والاختلاف في الآخر، يقدّم قول الزوج في الطلاق مطلقاً، لأنّه من فعله، </w:t>
      </w:r>
      <w:r>
        <w:rPr>
          <w:rFonts w:cs="Abz-2 (Badr)" w:hint="cs"/>
          <w:color w:val="0070C0"/>
          <w:sz w:val="28"/>
          <w:szCs w:val="28"/>
          <w:rtl/>
          <w:lang w:bidi="ar"/>
        </w:rPr>
        <w:lastRenderedPageBreak/>
        <w:t>وقولها في الوضع مطلقاً لذلك.»</w:t>
      </w:r>
      <w:r>
        <w:rPr>
          <w:rStyle w:val="FootnoteReference"/>
          <w:rFonts w:cs="Abz-2 (Badr)"/>
          <w:color w:val="000000" w:themeColor="text1"/>
          <w:sz w:val="28"/>
          <w:szCs w:val="28"/>
          <w:rtl/>
          <w:lang w:bidi="ar"/>
        </w:rPr>
        <w:footnoteReference w:id="1"/>
      </w:r>
    </w:p>
    <w:p w14:paraId="2F61C405"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صحت مدعای اول ايشان مبنی بر اين است که استصحاب در حادثی که تاريخ آن معلوم است، جاری نباشد، وگرنه فرقی بين اين حالت و حالتی که هر دو مجهول التاريخ باشند وجود ندارد. و شايد دليل اين که محقق مسأله را به نحو مطلق مطرح کرده است اين باشد که استصحاب در معلوم التاريخ را جاری می</w:t>
      </w:r>
      <w:r>
        <w:rPr>
          <w:rFonts w:cs="Abz-2 (Badr)" w:hint="cs"/>
          <w:color w:val="000000" w:themeColor="text1"/>
          <w:sz w:val="28"/>
          <w:szCs w:val="28"/>
          <w:rtl/>
          <w:lang w:bidi="ar"/>
        </w:rPr>
        <w:softHyphen/>
        <w:t>دانند.</w:t>
      </w:r>
    </w:p>
    <w:p w14:paraId="54A9BDFF"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حق نيز اين است که در جريان استصحاب بين دو حالت مذکور فرقی وجود ندارد و استصحاب در معلوم التاريخ نيز جاری است.</w:t>
      </w:r>
    </w:p>
    <w:p w14:paraId="0EEAB2BC"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صاحب جواهر نيز با اين که قائل به عدم فرق بين دو حالت مذکور است، وجه آن را مطلب ديگری می</w:t>
      </w:r>
      <w:r>
        <w:rPr>
          <w:rFonts w:cs="Abz-2 (Badr)" w:hint="cs"/>
          <w:color w:val="000000" w:themeColor="text1"/>
          <w:sz w:val="28"/>
          <w:szCs w:val="28"/>
          <w:rtl/>
          <w:lang w:bidi="ar"/>
        </w:rPr>
        <w:softHyphen/>
        <w:t>داند.</w:t>
      </w:r>
    </w:p>
    <w:p w14:paraId="5CD79AA1" w14:textId="77777777" w:rsidR="00661EBE" w:rsidRDefault="00661EBE" w:rsidP="00661EBE">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ar"/>
        </w:rPr>
        <w:t xml:space="preserve">ايشان فرموده است: </w:t>
      </w:r>
      <w:r>
        <w:rPr>
          <w:rFonts w:cs="Abz-2 (Badr)" w:hint="cs"/>
          <w:color w:val="0070C0"/>
          <w:sz w:val="28"/>
          <w:szCs w:val="28"/>
          <w:rtl/>
          <w:lang w:bidi="ar"/>
        </w:rPr>
        <w:t>«</w:t>
      </w:r>
      <w:r>
        <w:rPr>
          <w:rFonts w:cs="Abz-2 (Badr)" w:hint="cs"/>
          <w:color w:val="0070C0"/>
          <w:sz w:val="28"/>
          <w:szCs w:val="28"/>
          <w:rtl/>
        </w:rPr>
        <w:t>إنّ مفروض البحث تقدّم الطلاق وتأخّره ، ولا ريب في أنّ القول قول من‌ يدّعي تأخّره، والوضع وعدمه لا مدخليّة له في ذلك، وإنّما هو من المقارنات ولازم إحدى الدعويين. نعم، لو كان الاختلاف بينهما في دعوى تقدّم الطلاق على الوضع وتقدّم الوضع على الطلاق، اتّجه ما ذكره حينئذٍ.</w:t>
      </w:r>
    </w:p>
    <w:p w14:paraId="56540581" w14:textId="77777777" w:rsidR="00661EBE" w:rsidRDefault="00661EBE" w:rsidP="00661EBE">
      <w:pPr>
        <w:widowControl w:val="0"/>
        <w:bidi/>
        <w:spacing w:after="0"/>
        <w:ind w:firstLine="284"/>
        <w:jc w:val="both"/>
        <w:rPr>
          <w:rFonts w:cs="Abz-2 (Badr)"/>
          <w:color w:val="0070C0"/>
          <w:sz w:val="28"/>
          <w:szCs w:val="28"/>
        </w:rPr>
      </w:pPr>
      <w:r>
        <w:rPr>
          <w:rFonts w:cs="Abz-2 (Badr)" w:hint="cs"/>
          <w:color w:val="0070C0"/>
          <w:sz w:val="28"/>
          <w:szCs w:val="28"/>
          <w:rtl/>
        </w:rPr>
        <w:t>مع أنّا نقول أيضاً على تقديره: فيه ما ذكرناه غير مرّة من أنّ أصالة تأخّر الحادث إنمّا تقضي تأخّره في نفسه لا عن مفروض الدعوى، وإلا كانت من الأُصول المثبتة المعارضة بمثلها، إذ الأصل أيضاً عدم تأخّره عنه، لكونه من الحوادث أيضاً.</w:t>
      </w:r>
    </w:p>
    <w:p w14:paraId="7063F8BB" w14:textId="77777777" w:rsidR="00661EBE" w:rsidRDefault="00661EBE" w:rsidP="00661EBE">
      <w:pPr>
        <w:widowControl w:val="0"/>
        <w:bidi/>
        <w:spacing w:after="0"/>
        <w:ind w:firstLine="284"/>
        <w:jc w:val="both"/>
        <w:rPr>
          <w:rFonts w:cs="Abz-2 (Badr)" w:hint="cs"/>
          <w:color w:val="0070C0"/>
          <w:sz w:val="28"/>
          <w:szCs w:val="28"/>
          <w:rtl/>
        </w:rPr>
      </w:pPr>
      <w:r>
        <w:rPr>
          <w:rFonts w:cs="Abz-2 (Badr)" w:hint="cs"/>
          <w:color w:val="0070C0"/>
          <w:sz w:val="28"/>
          <w:szCs w:val="28"/>
          <w:rtl/>
        </w:rPr>
        <w:t>فالتحقيق حينئذٍ عدم الفرق بين العلم بزمان أحدهما وعدمه الذي قد عرفت حكمه، وأنّه لا يحكم فيه بالاقتران الذي هو أيضاً من الحوادث، والأصل عدمه.</w:t>
      </w:r>
    </w:p>
    <w:p w14:paraId="464A1A17" w14:textId="77777777" w:rsidR="00661EBE" w:rsidRDefault="00661EBE" w:rsidP="00661EBE">
      <w:pPr>
        <w:widowControl w:val="0"/>
        <w:bidi/>
        <w:spacing w:after="0"/>
        <w:ind w:firstLine="284"/>
        <w:jc w:val="both"/>
        <w:rPr>
          <w:rFonts w:cs="Abz-2 (Badr)"/>
          <w:color w:val="000000" w:themeColor="text1"/>
          <w:sz w:val="28"/>
          <w:szCs w:val="28"/>
          <w:lang w:bidi="ar"/>
        </w:rPr>
      </w:pPr>
      <w:r>
        <w:rPr>
          <w:rFonts w:cs="Abz-2 (Badr)" w:hint="cs"/>
          <w:color w:val="0070C0"/>
          <w:sz w:val="28"/>
          <w:szCs w:val="28"/>
          <w:rtl/>
        </w:rPr>
        <w:t>وبذلك ظهر قوّة إطلاق المصنّف وضعف التقييد المزبور.»</w:t>
      </w:r>
      <w:r>
        <w:rPr>
          <w:rStyle w:val="FootnoteReference"/>
          <w:rFonts w:cs="Abz-2 (Badr)"/>
          <w:color w:val="000000" w:themeColor="text1"/>
          <w:sz w:val="28"/>
          <w:szCs w:val="28"/>
          <w:rtl/>
          <w:lang w:bidi="ar"/>
        </w:rPr>
        <w:footnoteReference w:id="2"/>
      </w:r>
    </w:p>
    <w:p w14:paraId="23D7BD72" w14:textId="77777777" w:rsidR="00661EBE" w:rsidRDefault="00661EBE" w:rsidP="00661EBE">
      <w:pPr>
        <w:widowControl w:val="0"/>
        <w:bidi/>
        <w:spacing w:after="0"/>
        <w:ind w:firstLine="284"/>
        <w:jc w:val="both"/>
        <w:rPr>
          <w:rFonts w:cs="Abz-2 (Badr)"/>
          <w:color w:val="000000" w:themeColor="text1"/>
          <w:sz w:val="28"/>
          <w:szCs w:val="28"/>
          <w:lang w:bidi="ar"/>
        </w:rPr>
      </w:pPr>
      <w:r>
        <w:rPr>
          <w:rFonts w:cs="Abz-2 (Badr)" w:hint="cs"/>
          <w:color w:val="000000" w:themeColor="text1"/>
          <w:sz w:val="28"/>
          <w:szCs w:val="28"/>
          <w:rtl/>
          <w:lang w:bidi="ar"/>
        </w:rPr>
        <w:t xml:space="preserve">اما معلوم است که آنچه در اين مسأله سبب ايجاد اشکال در بقاء عده و عدم آن شده است، عدم علم به تقدم و تأخر طلاق به نسبت به وضع حمل است، نه اين که صرفاً به جهت عدم علم به زمان طلاق، ندانيم که عده باقی است يا منقضی </w:t>
      </w:r>
      <w:r>
        <w:rPr>
          <w:rFonts w:cs="Abz-2 (Badr)" w:hint="cs"/>
          <w:color w:val="000000" w:themeColor="text1"/>
          <w:sz w:val="28"/>
          <w:szCs w:val="28"/>
          <w:rtl/>
          <w:lang w:bidi="ar"/>
        </w:rPr>
        <w:lastRenderedPageBreak/>
        <w:t>شده است.</w:t>
      </w:r>
    </w:p>
    <w:p w14:paraId="268B9722"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به عبارت ديگر: نزاع در بين زوجين در زمان وقوع طلاق بدون لحاظ زمان وضع حمل نيست تا اين که تأخّر مطابق با مدعای يکی از آنان بوده و قول او مقدم گردد، بلکه در تقدم و تأخر آن به نسبت به زمان وقوع وضع حمل است.</w:t>
      </w:r>
    </w:p>
    <w:p w14:paraId="5431A939"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پاسخ اين ادعا که اگر نزاع در تقدم و تأخر بين طلاق و وضع حمل باشد، اولاً: تمسّک به اصل از باب اصل مثبت خواهد بود و ثانياً: دو اصل معارض وجود خواهد داشت، با توجه به آنچه که در تحليل مسأله گذشت معلوم می</w:t>
      </w:r>
      <w:r>
        <w:rPr>
          <w:rFonts w:cs="Abz-2 (Badr)" w:hint="cs"/>
          <w:color w:val="000000" w:themeColor="text1"/>
          <w:sz w:val="28"/>
          <w:szCs w:val="28"/>
          <w:rtl/>
          <w:lang w:bidi="ar"/>
        </w:rPr>
        <w:softHyphen/>
        <w:t>شود، زيرا اولاً: هرچند در مواردی تمسّک به اصل به نحو غير مثبت ممکن نيست، اما در جميع موارد اين گونه نيست. و ثانياً: اگرچه در مواردی تعارض بين دو اصل ايجاد می</w:t>
      </w:r>
      <w:r>
        <w:rPr>
          <w:rFonts w:cs="Abz-2 (Badr)" w:hint="cs"/>
          <w:color w:val="000000" w:themeColor="text1"/>
          <w:sz w:val="28"/>
          <w:szCs w:val="28"/>
          <w:rtl/>
          <w:lang w:bidi="ar"/>
        </w:rPr>
        <w:softHyphen/>
        <w:t>شود اما اين مطلب عموميت ندارد.</w:t>
      </w:r>
    </w:p>
    <w:p w14:paraId="1035E08D"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لازمه تعارض بين دو اصل و سقوط آنها نيز قول به اقتران زمانی دو حادث نيست، زيرا اين مطلب مخالف قول هر دو طرف دعواست و بر عدم آن بين آنان توافق وجود دارد.</w:t>
      </w:r>
    </w:p>
    <w:p w14:paraId="7DF449D3"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آنچه که شهيد ثانی در ذيل کلام خود فرموده</w:t>
      </w:r>
      <w:r>
        <w:rPr>
          <w:rFonts w:cs="Abz-2 (Badr)" w:hint="cs"/>
          <w:color w:val="000000" w:themeColor="text1"/>
          <w:sz w:val="28"/>
          <w:szCs w:val="28"/>
          <w:rtl/>
          <w:lang w:bidi="ar"/>
        </w:rPr>
        <w:softHyphen/>
        <w:t>اند نيز مدعای صحيحی نيست، زيرا دليلی بر اين که در هر عملی که از کسی سر بزند، قول او در آن عمل مقدم شود وجود ندارد، بلکه اين مطلب در خصوص اعمالی است که فرد ديگری امکان علم يافتن به آن را نداشته و فقط کسی که عمل از او سر می</w:t>
      </w:r>
      <w:r>
        <w:rPr>
          <w:rFonts w:cs="Abz-2 (Badr)" w:hint="cs"/>
          <w:color w:val="000000" w:themeColor="text1"/>
          <w:sz w:val="28"/>
          <w:szCs w:val="28"/>
          <w:rtl/>
          <w:lang w:bidi="ar"/>
        </w:rPr>
        <w:softHyphen/>
        <w:t>زند می</w:t>
      </w:r>
      <w:r>
        <w:rPr>
          <w:rFonts w:cs="Abz-2 (Badr)" w:hint="cs"/>
          <w:color w:val="000000" w:themeColor="text1"/>
          <w:sz w:val="28"/>
          <w:szCs w:val="28"/>
          <w:rtl/>
          <w:lang w:bidi="ar"/>
        </w:rPr>
        <w:softHyphen/>
        <w:t>تواند به آن علم بيابد.</w:t>
      </w:r>
    </w:p>
    <w:p w14:paraId="1FC1243B"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p>
    <w:p w14:paraId="4F97B995"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p>
    <w:p w14:paraId="0AB77448" w14:textId="77777777" w:rsidR="00661EBE" w:rsidRDefault="00661EBE" w:rsidP="00661EBE">
      <w:pPr>
        <w:widowControl w:val="0"/>
        <w:bidi/>
        <w:spacing w:after="0" w:line="252" w:lineRule="auto"/>
        <w:ind w:left="1701" w:firstLine="284"/>
        <w:jc w:val="both"/>
        <w:rPr>
          <w:rFonts w:cs="Abz-2 (Badr)" w:hint="cs"/>
          <w:color w:val="00B050"/>
          <w:sz w:val="28"/>
          <w:szCs w:val="28"/>
          <w:rtl/>
          <w:lang w:bidi="fa-IR"/>
        </w:rPr>
      </w:pPr>
      <w:r>
        <w:rPr>
          <w:rFonts w:cs="Abz-2 (Badr)" w:hint="cs"/>
          <w:color w:val="00B050"/>
          <w:sz w:val="28"/>
          <w:szCs w:val="28"/>
          <w:rtl/>
          <w:lang w:bidi="ar"/>
        </w:rPr>
        <w:t>قال المحقّق الحلّي: «السابعة: إذا كان له على زوجته دين، جاز أن يقاضيها يوماً فيوماً إن كانت موسرة. ولا يجوز مع إعسارها، لأنّ قضاء الدين فيما يفضل عن القوت. ولو رضيت بذلك لم يكن له الامتناع.»</w:t>
      </w:r>
      <w:r>
        <w:rPr>
          <w:rStyle w:val="FootnoteReference"/>
          <w:rFonts w:cs="Abz-2 (Badr)"/>
          <w:color w:val="000000" w:themeColor="text1"/>
          <w:sz w:val="28"/>
          <w:szCs w:val="28"/>
          <w:rtl/>
          <w:lang w:bidi="ar"/>
        </w:rPr>
        <w:footnoteReference w:id="3"/>
      </w:r>
    </w:p>
    <w:p w14:paraId="3AF497E4"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p>
    <w:p w14:paraId="5473E656"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توضيح اين مسأله را جلسه آينده بيان خواهيم کرد ان شاء الله.</w:t>
      </w:r>
    </w:p>
    <w:p w14:paraId="7D584948" w14:textId="77777777" w:rsidR="00661EBE" w:rsidRDefault="00661EBE" w:rsidP="00661EBE">
      <w:pPr>
        <w:rPr>
          <w:rFonts w:cs="Abz-2 (Badr)" w:hint="cs"/>
          <w:color w:val="000000" w:themeColor="text1"/>
          <w:sz w:val="28"/>
          <w:szCs w:val="28"/>
          <w:rtl/>
          <w:lang w:bidi="ar"/>
        </w:rPr>
      </w:pPr>
      <w:r>
        <w:rPr>
          <w:rFonts w:cs="Abz-2 (Badr)" w:hint="cs"/>
          <w:color w:val="000000" w:themeColor="text1"/>
          <w:sz w:val="28"/>
          <w:szCs w:val="28"/>
          <w:rtl/>
          <w:lang w:bidi="ar"/>
        </w:rPr>
        <w:lastRenderedPageBreak/>
        <w:br w:type="page"/>
      </w:r>
    </w:p>
    <w:p w14:paraId="3F003968"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lastRenderedPageBreak/>
        <w:t>قلنا: إنّه إذا ادّعت الزوجة انقضاء العدّة بوضع الحمل وادّعى الزوج بقاء العدّة وأقام البيّنة على دعواه، فقد يقال: إنّ الزوجة ـ حتّى لو رجع الزوج إليها ـ لا تستحقّ النفقة.</w:t>
      </w:r>
    </w:p>
    <w:p w14:paraId="06A71424" w14:textId="77777777" w:rsidR="00661EBE" w:rsidRDefault="00661EBE" w:rsidP="00661EBE">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إلا أنّه يمكن الجواب عن هذا الادّعاء بأنّ عدم جواز إبقاء المرأة معلّقة، يدلّ على وجوب النفقة على الزوج؛ لأنّ إبقاء المرأة على عنوان الزوجيّة مع الامتناع عن الإنفاق عليها، يعدّ إبقاءً لها في حالة التعليق المنهيّ عنها.</w:t>
      </w:r>
    </w:p>
    <w:p w14:paraId="52BC55E2" w14:textId="77777777" w:rsidR="00661EBE" w:rsidRDefault="00661EBE" w:rsidP="00661EBE">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وأمّا عدم تمكين الزوجة، فإنّه لمّا كان مستنداً إلى حكم شرعي في حقّها، فلا يكون موجباً لسقوط نفقتها؛ كما أنّ عدم التمكين في زمان الحيض لا يستلزم سقوط النفقة.</w:t>
      </w:r>
    </w:p>
    <w:p w14:paraId="1E37B0C5" w14:textId="77777777" w:rsidR="00661EBE" w:rsidRDefault="00661EBE" w:rsidP="00661EBE">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ثمّ إنّ كلام المحقّق في هذا المقام مطلق، إذ لم يفرّق بين ما إذا كان تاريخ الطلاق وتاريخ وضع الحمل كلاهما مجهولين، وبين ما إذا كان تاريخ أحدهما معلوماً والآخر مجهولاً</w:t>
      </w:r>
      <w:r>
        <w:rPr>
          <w:rFonts w:cs="Abz-2 (Badr)" w:hint="cs"/>
          <w:color w:val="000000" w:themeColor="text1"/>
          <w:sz w:val="28"/>
          <w:szCs w:val="28"/>
          <w:rtl/>
          <w:lang w:bidi="fa-IR"/>
        </w:rPr>
        <w:t>.</w:t>
      </w:r>
    </w:p>
    <w:p w14:paraId="59853E19" w14:textId="77777777" w:rsidR="00661EBE" w:rsidRDefault="00661EBE" w:rsidP="00661EBE">
      <w:pPr>
        <w:widowControl w:val="0"/>
        <w:bidi/>
        <w:spacing w:after="0"/>
        <w:ind w:firstLine="284"/>
        <w:jc w:val="both"/>
        <w:rPr>
          <w:rFonts w:cs="Abz-2 (Badr)"/>
          <w:color w:val="0070C0"/>
          <w:spacing w:val="-4"/>
          <w:sz w:val="28"/>
          <w:szCs w:val="28"/>
          <w:lang w:bidi="ar"/>
        </w:rPr>
      </w:pPr>
      <w:r>
        <w:rPr>
          <w:rFonts w:cs="Abz-2 (Badr)" w:hint="cs"/>
          <w:color w:val="000000" w:themeColor="text1"/>
          <w:sz w:val="28"/>
          <w:szCs w:val="28"/>
          <w:rtl/>
        </w:rPr>
        <w:t xml:space="preserve">إلا أنّ الشهيد الثاني قال: </w:t>
      </w:r>
      <w:r>
        <w:rPr>
          <w:rFonts w:cs="Abz-2 (Badr)" w:hint="cs"/>
          <w:color w:val="0070C0"/>
          <w:spacing w:val="-4"/>
          <w:sz w:val="28"/>
          <w:szCs w:val="28"/>
          <w:rtl/>
          <w:lang w:bidi="fa-IR"/>
        </w:rPr>
        <w:t>«</w:t>
      </w:r>
      <w:r>
        <w:rPr>
          <w:rFonts w:cs="Abz-2 (Badr)" w:hint="cs"/>
          <w:color w:val="0070C0"/>
          <w:spacing w:val="-4"/>
          <w:sz w:val="28"/>
          <w:szCs w:val="28"/>
          <w:rtl/>
          <w:lang w:bidi="ar"/>
        </w:rPr>
        <w:t>لو قيل بتخصيص هذا الحكم بما إذا لم يعيّنا زماناً لهما، أمّا لو اتّفقا على زمان أحدهما واختلفا في تقدّم الآخر وتأخّره فالقول قول مدّعي تأخّره مطلقاً، لأصالة عدم تقدّمه واستقرار حال ما اتّفقا عليه، كان حسناً.</w:t>
      </w:r>
    </w:p>
    <w:p w14:paraId="67AC1853" w14:textId="77777777" w:rsidR="00661EBE" w:rsidRDefault="00661EBE" w:rsidP="00661EBE">
      <w:pPr>
        <w:widowControl w:val="0"/>
        <w:bidi/>
        <w:spacing w:after="0"/>
        <w:ind w:firstLine="284"/>
        <w:jc w:val="both"/>
        <w:rPr>
          <w:rFonts w:cs="Abz-2 (Badr)" w:hint="cs"/>
          <w:color w:val="0070C0"/>
          <w:sz w:val="28"/>
          <w:szCs w:val="28"/>
          <w:rtl/>
          <w:lang w:bidi="ar"/>
        </w:rPr>
      </w:pPr>
      <w:r>
        <w:rPr>
          <w:rFonts w:cs="Abz-2 (Badr)" w:hint="cs"/>
          <w:color w:val="0070C0"/>
          <w:sz w:val="28"/>
          <w:szCs w:val="28"/>
          <w:rtl/>
          <w:lang w:bidi="ar"/>
        </w:rPr>
        <w:t>فلو فرض اتّفاقهما على أنّ الطلاق وقع يوم الجمعة واختلفا في زمان الوضع، فادّعت أنّه وقع يوم الخميس في المسألة الأُولى وادّعى وقوعه يوم السبت مثلاً، فالقول قوله، لأصالة عدم تقدّم الوضع. ولو انعكست الدعوى فالقول قولها لما ذكر. ولو اتّفقا على وقوع الوضع يوم الجمعة واختلفا في تقدّم الطلاق وتأخّره، فالقول قول مدّعي التأخّر في المسألتين.</w:t>
      </w:r>
    </w:p>
    <w:p w14:paraId="502E20C9" w14:textId="77777777" w:rsidR="00661EBE" w:rsidRDefault="00661EBE" w:rsidP="00661EBE">
      <w:pPr>
        <w:widowControl w:val="0"/>
        <w:bidi/>
        <w:spacing w:after="0"/>
        <w:ind w:firstLine="284"/>
        <w:jc w:val="both"/>
        <w:rPr>
          <w:rFonts w:cs="Abz-2 (Badr)" w:hint="cs"/>
          <w:color w:val="000000" w:themeColor="text1"/>
          <w:sz w:val="28"/>
          <w:szCs w:val="28"/>
          <w:rtl/>
          <w:lang w:bidi="ar"/>
        </w:rPr>
      </w:pPr>
      <w:r>
        <w:rPr>
          <w:rFonts w:cs="Abz-2 (Badr)" w:hint="cs"/>
          <w:color w:val="0070C0"/>
          <w:sz w:val="28"/>
          <w:szCs w:val="28"/>
          <w:rtl/>
          <w:lang w:bidi="ar"/>
        </w:rPr>
        <w:t>وربما قيل بأنه مع الاتّفاق على وقت أحدهما والاختلاف في الآخر، يقدّم قول الزوج في الطلاق مطلقاً، لأنّه من فعله، وقولها في الوضع مطلقاً لذلك.»</w:t>
      </w:r>
      <w:r>
        <w:rPr>
          <w:rStyle w:val="FootnoteReference"/>
          <w:rFonts w:cs="Abz-2 (Badr)"/>
          <w:color w:val="000000" w:themeColor="text1"/>
          <w:sz w:val="28"/>
          <w:szCs w:val="28"/>
          <w:rtl/>
          <w:lang w:bidi="ar"/>
        </w:rPr>
        <w:footnoteReference w:id="4"/>
      </w:r>
    </w:p>
    <w:p w14:paraId="14ACA9CC"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r>
        <w:rPr>
          <w:rFonts w:cs="Abz-2 (Badr)" w:hint="cs"/>
          <w:b/>
          <w:bCs/>
          <w:color w:val="000000" w:themeColor="text1"/>
          <w:sz w:val="28"/>
          <w:szCs w:val="28"/>
          <w:rtl/>
        </w:rPr>
        <w:t>أقول:</w:t>
      </w:r>
      <w:r>
        <w:rPr>
          <w:rFonts w:cs="Abz-2 (Badr)" w:hint="cs"/>
          <w:color w:val="000000" w:themeColor="text1"/>
          <w:sz w:val="28"/>
          <w:szCs w:val="28"/>
          <w:rtl/>
        </w:rPr>
        <w:t xml:space="preserve"> صحّة دعواه الأُولى مبنيّة على عدم جريان الاستصحاب في الحادث المعلوم التاريخ، وإلا فلا فرق بين هذه الحالة وبين الحالة التي يكون فيها التاريخان كلاهما مجهولين. ولعلّ وجه طرح المحقّق للمسألة بنحو مطلق هو أنّه يرى جريان الاستصحاب في معلوم التاريخ.</w:t>
      </w:r>
    </w:p>
    <w:p w14:paraId="3EFAA45E" w14:textId="77777777" w:rsidR="00661EBE" w:rsidRDefault="00661EBE" w:rsidP="00661EBE">
      <w:pPr>
        <w:widowControl w:val="0"/>
        <w:bidi/>
        <w:spacing w:after="0" w:line="252" w:lineRule="auto"/>
        <w:ind w:firstLine="284"/>
        <w:jc w:val="both"/>
        <w:rPr>
          <w:rFonts w:cs="Abz-2 (Badr)"/>
          <w:color w:val="000000" w:themeColor="text1"/>
          <w:sz w:val="28"/>
          <w:szCs w:val="28"/>
          <w:lang w:bidi="ar"/>
        </w:rPr>
      </w:pPr>
      <w:r>
        <w:rPr>
          <w:rFonts w:cs="Abz-2 (Badr)" w:hint="cs"/>
          <w:color w:val="000000" w:themeColor="text1"/>
          <w:sz w:val="28"/>
          <w:szCs w:val="28"/>
          <w:rtl/>
        </w:rPr>
        <w:t>والتحقيق أنّه لا فرق في جريان الاستصحاب بين الحالتين المذكورتين، وأنّ الاستصحاب في معلوم التاريخ أيضاً جارٍ</w:t>
      </w:r>
      <w:r>
        <w:rPr>
          <w:rFonts w:cs="Abz-2 (Badr)" w:hint="cs"/>
          <w:color w:val="000000" w:themeColor="text1"/>
          <w:sz w:val="28"/>
          <w:szCs w:val="28"/>
          <w:rtl/>
          <w:lang w:bidi="ar"/>
        </w:rPr>
        <w:t>.</w:t>
      </w:r>
    </w:p>
    <w:p w14:paraId="308078E6" w14:textId="77777777" w:rsidR="00661EBE" w:rsidRDefault="00661EBE" w:rsidP="00661EBE">
      <w:pPr>
        <w:widowControl w:val="0"/>
        <w:bidi/>
        <w:spacing w:after="0"/>
        <w:ind w:firstLine="284"/>
        <w:jc w:val="both"/>
        <w:rPr>
          <w:rFonts w:cs="Abz-2 (Badr)"/>
          <w:color w:val="0070C0"/>
          <w:sz w:val="28"/>
          <w:szCs w:val="28"/>
          <w:lang w:bidi="ar"/>
        </w:rPr>
      </w:pPr>
      <w:r>
        <w:rPr>
          <w:rFonts w:cs="Abz-2 (Badr)" w:hint="cs"/>
          <w:color w:val="000000" w:themeColor="text1"/>
          <w:sz w:val="28"/>
          <w:szCs w:val="28"/>
          <w:rtl/>
        </w:rPr>
        <w:lastRenderedPageBreak/>
        <w:t>غير أنّ صاحب الجواهر مع التزامه بعدم الفرق بين الحالتين المذكورتين، يذكر وجهاً آخر لذلك</w:t>
      </w:r>
      <w:r>
        <w:rPr>
          <w:rFonts w:cs="Abz-2 (Badr)" w:hint="cs"/>
          <w:color w:val="000000" w:themeColor="text1"/>
          <w:sz w:val="28"/>
          <w:szCs w:val="28"/>
          <w:rtl/>
          <w:lang w:bidi="ar"/>
        </w:rPr>
        <w:t xml:space="preserve"> حيث </w:t>
      </w:r>
      <w:r>
        <w:rPr>
          <w:rFonts w:cs="Abz-2 (Badr)" w:hint="cs"/>
          <w:color w:val="000000" w:themeColor="text1"/>
          <w:sz w:val="28"/>
          <w:szCs w:val="28"/>
          <w:rtl/>
        </w:rPr>
        <w:t xml:space="preserve">قال: </w:t>
      </w:r>
      <w:r>
        <w:rPr>
          <w:rFonts w:cs="Abz-2 (Badr)" w:hint="cs"/>
          <w:color w:val="0070C0"/>
          <w:sz w:val="28"/>
          <w:szCs w:val="28"/>
          <w:rtl/>
          <w:lang w:bidi="ar"/>
        </w:rPr>
        <w:t>«</w:t>
      </w:r>
      <w:r>
        <w:rPr>
          <w:rFonts w:cs="Abz-2 (Badr)" w:hint="cs"/>
          <w:color w:val="0070C0"/>
          <w:sz w:val="28"/>
          <w:szCs w:val="28"/>
          <w:rtl/>
        </w:rPr>
        <w:t>إنّ مفروض البحث تقدّم الطلاق وتأخّره ، ولا ريب في أنّ القول قول من‌ يدّعي تأخّره، والوضع وعدمه لا مدخليّة له في ذلك، وإنّما هو من المقارنات ولازم إحدى الدعويين. نعم، لو كان الاختلاف بينهما في دعوى تقدّم الطلاق على الوضع وتقدّم الوضع على الطلاق، اتّجه ما ذكره حينئذٍ.</w:t>
      </w:r>
    </w:p>
    <w:p w14:paraId="4BAAE5B9" w14:textId="77777777" w:rsidR="00661EBE" w:rsidRDefault="00661EBE" w:rsidP="00661EBE">
      <w:pPr>
        <w:widowControl w:val="0"/>
        <w:bidi/>
        <w:spacing w:after="0"/>
        <w:ind w:firstLine="284"/>
        <w:jc w:val="both"/>
        <w:rPr>
          <w:rFonts w:cs="Abz-2 (Badr)"/>
          <w:color w:val="0070C0"/>
          <w:sz w:val="28"/>
          <w:szCs w:val="28"/>
        </w:rPr>
      </w:pPr>
      <w:r>
        <w:rPr>
          <w:rFonts w:cs="Abz-2 (Badr)" w:hint="cs"/>
          <w:color w:val="0070C0"/>
          <w:sz w:val="28"/>
          <w:szCs w:val="28"/>
          <w:rtl/>
        </w:rPr>
        <w:t>مع أنّا نقول أيضاً على تقديره: فيه ما ذكرناه غير مرّة من أنّ أصالة تأخّر الحادث إنمّا تقضي تأخّره في نفسه لا عن مفروض الدعوى، وإلا كانت من الأُصول المثبتة المعارضة بمثلها، إذ الأصل أيضاً عدم تأخّره عنه، لكونه من الحوادث أيضاً.</w:t>
      </w:r>
    </w:p>
    <w:p w14:paraId="763BBFB2" w14:textId="77777777" w:rsidR="00661EBE" w:rsidRDefault="00661EBE" w:rsidP="00661EBE">
      <w:pPr>
        <w:widowControl w:val="0"/>
        <w:bidi/>
        <w:spacing w:after="0"/>
        <w:ind w:firstLine="284"/>
        <w:jc w:val="both"/>
        <w:rPr>
          <w:rFonts w:cs="Abz-2 (Badr)" w:hint="cs"/>
          <w:color w:val="0070C0"/>
          <w:sz w:val="28"/>
          <w:szCs w:val="28"/>
          <w:rtl/>
        </w:rPr>
      </w:pPr>
      <w:r>
        <w:rPr>
          <w:rFonts w:cs="Abz-2 (Badr)" w:hint="cs"/>
          <w:color w:val="0070C0"/>
          <w:sz w:val="28"/>
          <w:szCs w:val="28"/>
          <w:rtl/>
        </w:rPr>
        <w:t>فالتحقيق حينئذٍ عدم الفرق بين العلم بزمان أحدهما وعدمه الذي قد عرفت حكمه، وأنّه لا يحكم فيه بالاقتران الذي هو أيضاً من الحوادث، والأصل عدمه.</w:t>
      </w:r>
    </w:p>
    <w:p w14:paraId="6D361988" w14:textId="77777777" w:rsidR="00661EBE" w:rsidRDefault="00661EBE" w:rsidP="00661EBE">
      <w:pPr>
        <w:widowControl w:val="0"/>
        <w:bidi/>
        <w:spacing w:after="0"/>
        <w:ind w:firstLine="284"/>
        <w:jc w:val="both"/>
        <w:rPr>
          <w:rFonts w:cs="Abz-2 (Badr)"/>
          <w:color w:val="000000" w:themeColor="text1"/>
          <w:sz w:val="28"/>
          <w:szCs w:val="28"/>
          <w:lang w:bidi="ar"/>
        </w:rPr>
      </w:pPr>
      <w:r>
        <w:rPr>
          <w:rFonts w:cs="Abz-2 (Badr)" w:hint="cs"/>
          <w:color w:val="0070C0"/>
          <w:sz w:val="28"/>
          <w:szCs w:val="28"/>
          <w:rtl/>
        </w:rPr>
        <w:t>وبذلك ظهر قوّة إطلاق المصنّف وضعف التقييد المزبور.»</w:t>
      </w:r>
      <w:r>
        <w:rPr>
          <w:rStyle w:val="FootnoteReference"/>
          <w:rFonts w:cs="Abz-2 (Badr)"/>
          <w:color w:val="000000" w:themeColor="text1"/>
          <w:sz w:val="28"/>
          <w:szCs w:val="28"/>
          <w:rtl/>
          <w:lang w:bidi="ar"/>
        </w:rPr>
        <w:footnoteReference w:id="5"/>
      </w:r>
    </w:p>
    <w:p w14:paraId="4F7E58A3" w14:textId="77777777" w:rsidR="00661EBE" w:rsidRDefault="00661EBE" w:rsidP="00661EBE">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وفيه: أنّه من الواضح أنّ ما أوجب الإشكال في بقاء العدّة أو انقضائها في هذه المسألة إنّما هو عدم العلم بتقدّم الطلاق أو تأخّره بالنسبة إلى وضع الحمل، لا مجرّد الجهل بزمان وقوع الطلاق بحيث لا يدرى هل العدّة باقية أو منقضية.</w:t>
      </w:r>
    </w:p>
    <w:p w14:paraId="3D1B4426" w14:textId="77777777" w:rsidR="00661EBE" w:rsidRDefault="00661EBE" w:rsidP="00661EBE">
      <w:pPr>
        <w:widowControl w:val="0"/>
        <w:bidi/>
        <w:spacing w:after="0" w:line="252" w:lineRule="auto"/>
        <w:ind w:firstLine="284"/>
        <w:jc w:val="both"/>
        <w:rPr>
          <w:rFonts w:cs="Abz-2 (Badr)"/>
          <w:color w:val="000000" w:themeColor="text1"/>
          <w:sz w:val="28"/>
          <w:szCs w:val="28"/>
          <w:lang w:bidi="ar"/>
        </w:rPr>
      </w:pPr>
      <w:r>
        <w:rPr>
          <w:rFonts w:cs="Abz-2 (Badr)" w:hint="cs"/>
          <w:color w:val="000000" w:themeColor="text1"/>
          <w:sz w:val="28"/>
          <w:szCs w:val="28"/>
          <w:rtl/>
        </w:rPr>
        <w:t>وبعبارة أُخرى: ليس النزاع بين الزوجين في زمان وقوع الطلاق بما هو هو من دون لحاظ زمان وضع الحمل كي يكون التأخّر مطابقاً لدعوى أحدهما فيقدّم قوله، بل إنّ محلّ النزاع هو في تقدّم الطلاق أو تأخّره بالنسبة إلى زمان وقوع وضع الحمل.</w:t>
      </w:r>
    </w:p>
    <w:p w14:paraId="5A1244F6" w14:textId="77777777" w:rsidR="00661EBE" w:rsidRDefault="00661EBE" w:rsidP="00661EBE">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 xml:space="preserve">وأمّا الجواب عن الدعوى القائلة بأنّه إذا كان النزاع في التقدّم والتأخّر بين الطلاق ووضع الحمل، فإنّ التمسّك بالأصل يكون أوّلاً: من باب الأصل المثبت، وثانياً: يلزم وجود أصلين متعارضين، فإنّه يتّضح ـ في ضوء ما تقدّم من تحليل المسألة ـ عدم تماميّة هذه الدعوى؛ إذ أوّلاً: وإن كان التمسّك بالأصل في بعض الموارد لا يمكن إلا على نحو مثبت، إلا أنّ ذلك ليس جارياً في جميع الموارد. وثانياً: وإن كان قد يتحقّق التعارض بين أصلين في بعض الموارد، إلا أنّ هذا الأمر ليس على </w:t>
      </w:r>
      <w:r>
        <w:rPr>
          <w:rFonts w:cs="Abz-2 (Badr)" w:hint="cs"/>
          <w:color w:val="000000" w:themeColor="text1"/>
          <w:sz w:val="28"/>
          <w:szCs w:val="28"/>
          <w:rtl/>
        </w:rPr>
        <w:lastRenderedPageBreak/>
        <w:t>نحو العموم.</w:t>
      </w:r>
    </w:p>
    <w:p w14:paraId="09EC856F" w14:textId="77777777" w:rsidR="00661EBE" w:rsidRDefault="00661EBE" w:rsidP="00661EBE">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كما أنّ لازم القول بتعارض الأصلين وتساقطهما ليس هو الالتزام بالاقتران الزماني بين الحادثين؛ لأنّ هذا القول مخالف لدعوى كلا الطرفين، بل هما متّفقان على عدمه.</w:t>
      </w:r>
    </w:p>
    <w:p w14:paraId="51C7B4A9" w14:textId="77777777" w:rsidR="00661EBE" w:rsidRDefault="00661EBE" w:rsidP="00661EBE">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وأمّا ما أفاده الشهيد الثاني في ذيل كلامه، فليس بمدّعى صحيح أيضاً؛ إذ لا دليل على أنّ قول الإنسان يقدّم في كلّ فعل يصدر منه، وإنّما يختصّ ذلك بالأفعال التي لا يمكن لغير الفاعل الاطّلاع عليها بحيث يكون العلم بها منحصراً بمن صدر منه الفعل.</w:t>
      </w:r>
    </w:p>
    <w:p w14:paraId="756AA037"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ar"/>
        </w:rPr>
      </w:pPr>
    </w:p>
    <w:p w14:paraId="1691629B" w14:textId="77777777" w:rsidR="00661EBE" w:rsidRDefault="00661EBE" w:rsidP="00661EBE">
      <w:pPr>
        <w:widowControl w:val="0"/>
        <w:bidi/>
        <w:spacing w:after="0" w:line="252" w:lineRule="auto"/>
        <w:ind w:left="1701" w:firstLine="284"/>
        <w:jc w:val="both"/>
        <w:rPr>
          <w:rFonts w:cs="Abz-2 (Badr)" w:hint="cs"/>
          <w:color w:val="00B050"/>
          <w:sz w:val="28"/>
          <w:szCs w:val="28"/>
          <w:rtl/>
          <w:lang w:bidi="fa-IR"/>
        </w:rPr>
      </w:pPr>
      <w:r>
        <w:rPr>
          <w:rFonts w:cs="Abz-2 (Badr)" w:hint="cs"/>
          <w:color w:val="00B050"/>
          <w:sz w:val="28"/>
          <w:szCs w:val="28"/>
          <w:rtl/>
          <w:lang w:bidi="ar"/>
        </w:rPr>
        <w:t>قال المحقّق الحلّي: «السابعة: إذا كان له على زوجته دين، جاز أن يقاضيها يوماً فيوماً إن كانت موسرة. ولا يجوز مع إعسارها، لأنّ قضاء الدين فيما يفضل عن القوت. ولو رضيت بذلك لم يكن له الامتناع.»</w:t>
      </w:r>
      <w:r>
        <w:rPr>
          <w:rStyle w:val="FootnoteReference"/>
          <w:rFonts w:cs="Abz-2 (Badr)"/>
          <w:color w:val="000000" w:themeColor="text1"/>
          <w:sz w:val="28"/>
          <w:szCs w:val="28"/>
          <w:rtl/>
          <w:lang w:bidi="ar"/>
        </w:rPr>
        <w:footnoteReference w:id="6"/>
      </w:r>
    </w:p>
    <w:p w14:paraId="62809B44" w14:textId="77777777" w:rsidR="00661EBE" w:rsidRDefault="00661EBE" w:rsidP="00661EBE">
      <w:pPr>
        <w:widowControl w:val="0"/>
        <w:bidi/>
        <w:spacing w:after="0" w:line="252" w:lineRule="auto"/>
        <w:ind w:firstLine="284"/>
        <w:jc w:val="both"/>
        <w:rPr>
          <w:rFonts w:cs="Abz-2 (Badr)" w:hint="cs"/>
          <w:color w:val="000000" w:themeColor="text1"/>
          <w:sz w:val="28"/>
          <w:szCs w:val="28"/>
          <w:rtl/>
          <w:lang w:bidi="fa-IR"/>
        </w:rPr>
      </w:pPr>
    </w:p>
    <w:p w14:paraId="7AD15A10" w14:textId="77777777" w:rsidR="00661EBE" w:rsidRDefault="00661EBE" w:rsidP="00661EBE">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وسنبيّن توضيح هذه المسألة في الجلسة القادمة إن شاء الله.</w:t>
      </w:r>
      <w:bookmarkEnd w:id="1"/>
      <w:bookmarkEnd w:id="2"/>
    </w:p>
    <w:p w14:paraId="2AD04477" w14:textId="7D63A4A4" w:rsidR="00B706A3" w:rsidRPr="00661EBE" w:rsidRDefault="00B706A3" w:rsidP="00661EBE">
      <w:pPr>
        <w:rPr>
          <w:rtl/>
        </w:rPr>
      </w:pPr>
    </w:p>
    <w:sectPr w:rsidR="00B706A3" w:rsidRPr="00661EBE"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42ECF" w14:textId="77777777" w:rsidR="005327B2" w:rsidRDefault="005327B2" w:rsidP="00F71127">
      <w:pPr>
        <w:spacing w:after="0" w:line="240" w:lineRule="auto"/>
      </w:pPr>
      <w:r>
        <w:separator/>
      </w:r>
    </w:p>
  </w:endnote>
  <w:endnote w:type="continuationSeparator" w:id="0">
    <w:p w14:paraId="3AE541E3" w14:textId="77777777" w:rsidR="005327B2" w:rsidRDefault="005327B2"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D554D" w14:textId="77777777" w:rsidR="00230355" w:rsidRDefault="0023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E750" w14:textId="77777777" w:rsidR="00230355" w:rsidRDefault="0023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BBB9" w14:textId="77777777" w:rsidR="005327B2" w:rsidRDefault="005327B2" w:rsidP="00EE25C0">
      <w:pPr>
        <w:bidi/>
        <w:spacing w:after="0" w:line="240" w:lineRule="auto"/>
      </w:pPr>
      <w:r>
        <w:separator/>
      </w:r>
    </w:p>
  </w:footnote>
  <w:footnote w:type="continuationSeparator" w:id="0">
    <w:p w14:paraId="73D9E56C" w14:textId="77777777" w:rsidR="005327B2" w:rsidRDefault="005327B2" w:rsidP="00F71127">
      <w:pPr>
        <w:bidi/>
        <w:spacing w:after="0" w:line="240" w:lineRule="auto"/>
      </w:pPr>
      <w:r>
        <w:continuationSeparator/>
      </w:r>
    </w:p>
  </w:footnote>
  <w:footnote w:id="1">
    <w:p w14:paraId="4C791A43"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الأفهام،ج8،ص479 و 480.</w:t>
      </w:r>
    </w:p>
  </w:footnote>
  <w:footnote w:id="2">
    <w:p w14:paraId="5CF15F52"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،ج31،ص363 و 364.</w:t>
      </w:r>
    </w:p>
  </w:footnote>
  <w:footnote w:id="3">
    <w:p w14:paraId="32E2A49B"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،ج2،ص295.</w:t>
      </w:r>
    </w:p>
  </w:footnote>
  <w:footnote w:id="4">
    <w:p w14:paraId="3BD1A3A7"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 xml:space="preserve"> الأفهام،ج8،ص479 و 480.</w:t>
      </w:r>
    </w:p>
  </w:footnote>
  <w:footnote w:id="5">
    <w:p w14:paraId="7480133C"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،ج31،ص363 و 364.</w:t>
      </w:r>
    </w:p>
  </w:footnote>
  <w:footnote w:id="6">
    <w:p w14:paraId="706ECF44" w14:textId="77777777" w:rsidR="00661EBE" w:rsidRDefault="00661EBE" w:rsidP="00661EBE">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شرائع الإسلام</w:t>
      </w:r>
      <w:r>
        <w:rPr>
          <w:rFonts w:cs="Abz-2 (Badr)" w:hint="cs"/>
          <w:rtl/>
          <w:lang w:bidi="fa-IR"/>
        </w:rPr>
        <w:t>،ج2،ص295.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BFEF" w14:textId="77777777" w:rsidR="00230355" w:rsidRDefault="00230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C8736D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61EBE">
                            <w:rPr>
                              <w:rFonts w:cs="B Mehr" w:hint="cs"/>
                              <w:rtl/>
                              <w:lang w:bidi="fa-IR"/>
                            </w:rPr>
                            <w:t>سه 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61EBE">
                            <w:rPr>
                              <w:rFonts w:cs="B Mehr" w:hint="cs"/>
                              <w:rtl/>
                              <w:lang w:bidi="fa-IR"/>
                            </w:rPr>
                            <w:t>14</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7C8736D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61EBE">
                      <w:rPr>
                        <w:rFonts w:cs="B Mehr" w:hint="cs"/>
                        <w:rtl/>
                        <w:lang w:bidi="fa-IR"/>
                      </w:rPr>
                      <w:t>سه ش</w:t>
                    </w:r>
                    <w:r w:rsidR="00230355">
                      <w:rPr>
                        <w:rFonts w:cs="B Mehr" w:hint="cs"/>
                        <w:rtl/>
                        <w:lang w:bidi="fa-IR"/>
                      </w:rPr>
                      <w:t>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661EBE">
                      <w:rPr>
                        <w:rFonts w:cs="B Mehr" w:hint="cs"/>
                        <w:rtl/>
                        <w:lang w:bidi="fa-IR"/>
                      </w:rPr>
                      <w:t>14</w:t>
                    </w:r>
                    <w:r w:rsidR="00860A59">
                      <w:rPr>
                        <w:rFonts w:cs="B Mehr" w:hint="cs"/>
                        <w:rtl/>
                      </w:rPr>
                      <w:t xml:space="preserve"> </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F7A5" w14:textId="77777777" w:rsidR="00230355" w:rsidRDefault="002303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21738</TotalTime>
  <Pages>1</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736</cp:revision>
  <cp:lastPrinted>2025-04-14T09:12:00Z</cp:lastPrinted>
  <dcterms:created xsi:type="dcterms:W3CDTF">2022-10-16T08:36:00Z</dcterms:created>
  <dcterms:modified xsi:type="dcterms:W3CDTF">2026-02-07T07:00:00Z</dcterms:modified>
</cp:coreProperties>
</file>