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2FA3A" w14:textId="77777777" w:rsidR="00860A59" w:rsidRDefault="00860A59" w:rsidP="00860A59">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01664CE1" w14:textId="77777777" w:rsidR="00860A59" w:rsidRDefault="00860A59" w:rsidP="00860A59">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4CA003FE" w14:textId="77777777" w:rsidR="00860A59" w:rsidRDefault="00860A59" w:rsidP="00860A59">
      <w:pPr>
        <w:widowControl w:val="0"/>
        <w:bidi/>
        <w:spacing w:after="0"/>
        <w:jc w:val="center"/>
        <w:rPr>
          <w:rFonts w:cs="B Mitra" w:hint="cs"/>
          <w:b/>
          <w:bCs/>
          <w:sz w:val="32"/>
          <w:szCs w:val="32"/>
          <w:rtl/>
        </w:rPr>
      </w:pPr>
      <w:r>
        <w:rPr>
          <w:rFonts w:cs="B Mitra" w:hint="cs"/>
          <w:b/>
          <w:bCs/>
          <w:sz w:val="32"/>
          <w:szCs w:val="32"/>
          <w:rtl/>
          <w:lang w:bidi="fa-IR"/>
        </w:rPr>
        <w:t>جلسه 912</w:t>
      </w:r>
    </w:p>
    <w:p w14:paraId="31C60037" w14:textId="77777777" w:rsidR="00860A59" w:rsidRDefault="00860A59" w:rsidP="00860A59">
      <w:pPr>
        <w:widowControl w:val="0"/>
        <w:bidi/>
        <w:spacing w:after="0"/>
        <w:ind w:firstLine="284"/>
        <w:jc w:val="both"/>
        <w:rPr>
          <w:rFonts w:cs="Abz-2 (Badr)" w:hint="cs"/>
          <w:color w:val="000000" w:themeColor="text1"/>
          <w:sz w:val="28"/>
          <w:szCs w:val="28"/>
          <w:rtl/>
          <w:lang w:bidi="fa-IR"/>
        </w:rPr>
      </w:pPr>
      <w:bookmarkStart w:id="0" w:name="_Hlk159096966"/>
    </w:p>
    <w:p w14:paraId="1403143A" w14:textId="77777777" w:rsidR="00860A59" w:rsidRDefault="00860A59" w:rsidP="00860A59">
      <w:pPr>
        <w:widowControl w:val="0"/>
        <w:bidi/>
        <w:spacing w:after="0"/>
        <w:ind w:firstLine="284"/>
        <w:jc w:val="both"/>
        <w:rPr>
          <w:rFonts w:cs="Abz-2 (Badr)" w:hint="cs"/>
          <w:color w:val="C45911" w:themeColor="accent2" w:themeShade="BF"/>
          <w:sz w:val="28"/>
          <w:szCs w:val="28"/>
          <w:rtl/>
        </w:rPr>
      </w:pPr>
      <w:bookmarkStart w:id="1" w:name="_Hlk217813422"/>
      <w:bookmarkStart w:id="2" w:name="_Hlk217856631"/>
      <w:bookmarkEnd w:id="0"/>
      <w:r>
        <w:rPr>
          <w:rFonts w:cs="Abz-2 (Badr)" w:hint="cs"/>
          <w:color w:val="C45911" w:themeColor="accent2" w:themeShade="BF"/>
          <w:sz w:val="28"/>
          <w:szCs w:val="28"/>
          <w:rtl/>
        </w:rPr>
        <w:t>فرع دوم: عدم وجوب نفقه بائن حامل غير مطلقه</w:t>
      </w:r>
    </w:p>
    <w:p w14:paraId="552BAB2B" w14:textId="77777777" w:rsidR="00860A59" w:rsidRDefault="00860A59" w:rsidP="00860A5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اين فرع در مباحث سابق گذشت و سابقاً گفتيم که</w:t>
      </w:r>
      <w:r>
        <w:rPr>
          <w:rFonts w:cs="Abz-2 (Badr)" w:hint="cs"/>
          <w:color w:val="000000" w:themeColor="text1"/>
          <w:sz w:val="28"/>
          <w:szCs w:val="28"/>
          <w:rtl/>
          <w:lang w:bidi="fa-IR"/>
        </w:rPr>
        <w:t xml:space="preserve"> آنچه از آيه و اخبار استفاده می</w:t>
      </w:r>
      <w:r>
        <w:rPr>
          <w:rFonts w:cs="Abz-2 (Badr)" w:hint="cs"/>
          <w:color w:val="000000" w:themeColor="text1"/>
          <w:sz w:val="28"/>
          <w:szCs w:val="28"/>
          <w:rtl/>
          <w:lang w:bidi="fa-IR"/>
        </w:rPr>
        <w:softHyphen/>
        <w:t>شود، چيزی بيش از اين نيست که نفقه مذکور در صورت وقوع طلاق واجب است و در صورت حصول فرقه به طريقی ديگر، دليلی برای وجوب نفقه مذکور وجود ندارد.</w:t>
      </w:r>
    </w:p>
    <w:p w14:paraId="07527002" w14:textId="77777777" w:rsidR="00860A59" w:rsidRDefault="00860A59" w:rsidP="00860A59">
      <w:pPr>
        <w:widowControl w:val="0"/>
        <w:bidi/>
        <w:spacing w:after="0"/>
        <w:ind w:firstLine="284"/>
        <w:jc w:val="both"/>
        <w:rPr>
          <w:rFonts w:ascii="IRBadr" w:hAnsi="IRBadr" w:cs="Abz-2 (Badr)" w:hint="cs"/>
          <w:color w:val="70AD47" w:themeColor="accent6"/>
          <w:kern w:val="2"/>
          <w:sz w:val="28"/>
          <w:szCs w:val="28"/>
          <w:rtl/>
          <w:lang w:bidi="fa-IR"/>
          <w14:ligatures w14:val="standardContextual"/>
        </w:rPr>
      </w:pPr>
      <w:r>
        <w:rPr>
          <w:rFonts w:cs="Abz-2 (Badr)" w:hint="cs"/>
          <w:color w:val="000000" w:themeColor="text1"/>
          <w:sz w:val="28"/>
          <w:szCs w:val="28"/>
          <w:rtl/>
          <w:lang w:bidi="fa-IR"/>
        </w:rPr>
        <w:t xml:space="preserve">اما ممکن است ادعا شود که در برخی اخبار، وجوب نفقه حامل به نحو مطلق بيان شده و متوقّف بر طلاق نشده است؛ مثلاً در </w:t>
      </w:r>
      <w:r>
        <w:rPr>
          <w:rFonts w:cs="Abz-2 (Badr)" w:hint="cs"/>
          <w:sz w:val="28"/>
          <w:szCs w:val="28"/>
          <w:rtl/>
          <w:lang w:bidi="ar"/>
        </w:rPr>
        <w:t xml:space="preserve">حسنه محمّد بن قيس از ابی جعفر(ع) آمده است: </w:t>
      </w:r>
      <w:r>
        <w:rPr>
          <w:rFonts w:ascii="IRBadr" w:hAnsi="IRBadr" w:cs="Abz-2 (Badr)" w:hint="cs"/>
          <w:color w:val="70AD47" w:themeColor="accent6"/>
          <w:kern w:val="2"/>
          <w:sz w:val="28"/>
          <w:szCs w:val="28"/>
          <w:rtl/>
          <w:lang w:bidi="fa-IR"/>
          <w14:ligatures w14:val="standardContextual"/>
        </w:rPr>
        <w:t>«الحامل أجلها أن تضع حملها وعليه نفقتها بالمعروف حتّى تضع حملها.»</w:t>
      </w:r>
      <w:r>
        <w:rPr>
          <w:rFonts w:cs="Abz-2 (Badr)"/>
          <w:color w:val="000000" w:themeColor="text1"/>
          <w:sz w:val="28"/>
          <w:szCs w:val="28"/>
          <w:vertAlign w:val="superscript"/>
          <w:rtl/>
          <w:lang w:bidi="ar"/>
        </w:rPr>
        <w:footnoteReference w:id="1"/>
      </w:r>
    </w:p>
    <w:p w14:paraId="009FB8F9" w14:textId="77777777" w:rsidR="00860A59" w:rsidRDefault="00860A59" w:rsidP="00860A59">
      <w:pPr>
        <w:widowControl w:val="0"/>
        <w:bidi/>
        <w:spacing w:after="0"/>
        <w:ind w:firstLine="284"/>
        <w:jc w:val="both"/>
        <w:rPr>
          <w:rFonts w:ascii="IRBadr" w:hAnsi="IRBadr" w:cs="Abz-2 (Badr)" w:hint="cs"/>
          <w:color w:val="000000" w:themeColor="text1"/>
          <w:kern w:val="2"/>
          <w:sz w:val="28"/>
          <w:szCs w:val="28"/>
          <w:rtl/>
          <w:lang w:bidi="fa-IR"/>
          <w14:ligatures w14:val="standardContextual"/>
        </w:rPr>
      </w:pPr>
      <w:r>
        <w:rPr>
          <w:rFonts w:ascii="IRBadr" w:hAnsi="IRBadr" w:cs="Abz-2 (Badr)" w:hint="cs"/>
          <w:color w:val="000000" w:themeColor="text1"/>
          <w:kern w:val="2"/>
          <w:sz w:val="28"/>
          <w:szCs w:val="28"/>
          <w:rtl/>
          <w:lang w:bidi="fa-IR"/>
          <w14:ligatures w14:val="standardContextual"/>
        </w:rPr>
        <w:t>شايد نظر شيخ در مبسوط که ادعای وجوب نفقه بائن حامل به نحو مطلق را مستند به عموم اخبار کرده است</w:t>
      </w:r>
      <w:r>
        <w:rPr>
          <w:rStyle w:val="FootnoteReference"/>
          <w:rFonts w:cs="Abz-2 (Badr)"/>
          <w:color w:val="000000" w:themeColor="text1"/>
          <w:sz w:val="28"/>
          <w:szCs w:val="28"/>
          <w:rtl/>
          <w:lang w:bidi="ar"/>
        </w:rPr>
        <w:footnoteReference w:id="2"/>
      </w:r>
      <w:r>
        <w:rPr>
          <w:rFonts w:ascii="IRBadr" w:hAnsi="IRBadr" w:cs="Abz-2 (Badr)" w:hint="cs"/>
          <w:color w:val="000000" w:themeColor="text1"/>
          <w:kern w:val="2"/>
          <w:sz w:val="28"/>
          <w:szCs w:val="28"/>
          <w:rtl/>
          <w:lang w:bidi="fa-IR"/>
          <w14:ligatures w14:val="standardContextual"/>
        </w:rPr>
        <w:t xml:space="preserve"> نيز به همين روايت بوده باشد.</w:t>
      </w:r>
    </w:p>
    <w:p w14:paraId="0A87DD6F" w14:textId="77777777" w:rsidR="00860A59" w:rsidRDefault="00860A59" w:rsidP="00860A59">
      <w:pPr>
        <w:widowControl w:val="0"/>
        <w:bidi/>
        <w:spacing w:after="0"/>
        <w:ind w:firstLine="284"/>
        <w:jc w:val="both"/>
        <w:rPr>
          <w:rFonts w:ascii="IRBadr" w:hAnsi="IRBadr" w:cs="Abz-2 (Badr)" w:hint="cs"/>
          <w:color w:val="000000" w:themeColor="text1"/>
          <w:kern w:val="2"/>
          <w:sz w:val="28"/>
          <w:szCs w:val="28"/>
          <w:rtl/>
          <w:lang w:bidi="fa-IR"/>
          <w14:ligatures w14:val="standardContextual"/>
        </w:rPr>
      </w:pPr>
      <w:r>
        <w:rPr>
          <w:rFonts w:ascii="IRBadr" w:hAnsi="IRBadr" w:cs="Abz-2 (Badr)" w:hint="cs"/>
          <w:color w:val="000000" w:themeColor="text1"/>
          <w:kern w:val="2"/>
          <w:sz w:val="28"/>
          <w:szCs w:val="28"/>
          <w:rtl/>
          <w:lang w:bidi="fa-IR"/>
          <w14:ligatures w14:val="standardContextual"/>
        </w:rPr>
        <w:t>صاحب جواهر در رد استدلال به اين روايت می</w:t>
      </w:r>
      <w:r>
        <w:rPr>
          <w:rFonts w:ascii="IRBadr" w:hAnsi="IRBadr" w:cs="Abz-2 (Badr)" w:hint="cs"/>
          <w:color w:val="000000" w:themeColor="text1"/>
          <w:kern w:val="2"/>
          <w:sz w:val="28"/>
          <w:szCs w:val="28"/>
          <w:rtl/>
          <w:lang w:bidi="fa-IR"/>
          <w14:ligatures w14:val="standardContextual"/>
        </w:rPr>
        <w:softHyphen/>
        <w:t>فرمايد: خبر مذکور دارای ضعف سند بوده و نيازمند جابر است و جابری برای آن وجود ندارد. مضافاً بر اين که ممکن است که مراد از حامل در آن، مطلقه حامل باشد، بلکه چه بسا بتوان ادعا کرد که ظهور در همين مطلب دارد.</w:t>
      </w:r>
      <w:r>
        <w:rPr>
          <w:rStyle w:val="FootnoteReference"/>
          <w:rFonts w:cs="Abz-2 (Badr)"/>
          <w:color w:val="000000" w:themeColor="text1"/>
          <w:sz w:val="28"/>
          <w:szCs w:val="28"/>
          <w:rtl/>
          <w:lang w:bidi="ar"/>
        </w:rPr>
        <w:footnoteReference w:id="3"/>
      </w:r>
    </w:p>
    <w:p w14:paraId="1946AEEA" w14:textId="77777777" w:rsidR="00860A59" w:rsidRDefault="00860A59" w:rsidP="00860A59">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 xml:space="preserve">ظاهراً وجه اين که صاحب جواهر روايت را دارای ضعف سندی دانسته است، مدعای شهيد ثانی در خصوص </w:t>
      </w:r>
      <w:r>
        <w:rPr>
          <w:rFonts w:cs="Abz-2 (Badr)" w:hint="cs"/>
          <w:color w:val="000000" w:themeColor="text1"/>
          <w:sz w:val="28"/>
          <w:szCs w:val="28"/>
          <w:rtl/>
          <w:lang w:bidi="ar"/>
        </w:rPr>
        <w:lastRenderedPageBreak/>
        <w:t>اشتراک محمّد بن قيس بين ضعيف و موثق است.</w:t>
      </w:r>
      <w:r>
        <w:rPr>
          <w:rStyle w:val="FootnoteReference"/>
          <w:rFonts w:cs="Abz-2 (Badr)"/>
          <w:color w:val="000000" w:themeColor="text1"/>
          <w:sz w:val="28"/>
          <w:szCs w:val="28"/>
          <w:rtl/>
          <w:lang w:bidi="ar"/>
        </w:rPr>
        <w:footnoteReference w:id="4"/>
      </w:r>
    </w:p>
    <w:p w14:paraId="47B0FFD7" w14:textId="77777777" w:rsidR="00860A59" w:rsidRDefault="00860A59" w:rsidP="00860A59">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اين مدعا صحيح نيست.</w:t>
      </w:r>
    </w:p>
    <w:p w14:paraId="6C53BF78" w14:textId="77777777" w:rsidR="00860A59" w:rsidRDefault="00860A59" w:rsidP="00860A59">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ar"/>
        </w:rPr>
        <w:t xml:space="preserve">در رجال نجاشی آمده است: </w:t>
      </w:r>
      <w:r>
        <w:rPr>
          <w:rFonts w:cs="Abz-2 (Badr)" w:hint="cs"/>
          <w:color w:val="0070C0"/>
          <w:sz w:val="28"/>
          <w:szCs w:val="28"/>
          <w:rtl/>
          <w:lang w:bidi="ar"/>
        </w:rPr>
        <w:t>«</w:t>
      </w:r>
      <w:r>
        <w:rPr>
          <w:rFonts w:cs="Abz-2 (Badr)" w:hint="cs"/>
          <w:color w:val="0070C0"/>
          <w:sz w:val="28"/>
          <w:szCs w:val="28"/>
          <w:rtl/>
          <w:lang w:bidi="fa-IR"/>
        </w:rPr>
        <w:t>محمّد بن‏ قيس،‏ أبو نصر الأسدي... وجه من وجوه العرب بالكوفة، وكان خصّيصاً بعمر بن عبد العزيز، ثمّ يزيد بن عبد الملك‏، وكان أحدهما أنفذه إلى بلاد الروم في فداء المسلمين. روى عن أبي جعفر و أبي عبدالله(ع)، و له كتاب في قضايا أمير المؤمنين(ع)، وله كتاب آخر نوادر.</w:t>
      </w:r>
    </w:p>
    <w:p w14:paraId="63E55760" w14:textId="77777777" w:rsidR="00860A59" w:rsidRDefault="00860A59" w:rsidP="00860A59">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ولنا محمّد بن قيس البجلي، وله كتاب يساوي كتاب محمّد بن قيس الأسدي.</w:t>
      </w:r>
    </w:p>
    <w:p w14:paraId="7055F695" w14:textId="77777777" w:rsidR="00860A59" w:rsidRDefault="00860A59" w:rsidP="00860A59">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ولنا محمّد بن قيس الأسدي، أبو عبدالله، مولى لبني نصر أيضاً، وكان خصّيصاً ممدوحاً.</w:t>
      </w:r>
    </w:p>
    <w:p w14:paraId="2CE1A3DF" w14:textId="77777777" w:rsidR="00860A59" w:rsidRDefault="00860A59" w:rsidP="00860A59">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ولنا محمّد بن قيس الأسدي، أبو أحمد، ضعيف، روى عن أبي جعفر(ع)...</w:t>
      </w:r>
    </w:p>
    <w:p w14:paraId="675871A9" w14:textId="77777777" w:rsidR="00860A59" w:rsidRDefault="00860A59" w:rsidP="00860A59">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محمّد بن قيس أبو عبدالله‏ البجلي، ثقة، عين، كوفي، روى عن أبي جعفر وأبي عبدالله(ع). له كتاب القضايا المعروف، رواه عنه عاصم بن حميد الحنّاط، ويوسف بن عقيل، وعبيد ابنه...»‏</w:t>
      </w:r>
      <w:r>
        <w:rPr>
          <w:rStyle w:val="FootnoteReference"/>
          <w:rFonts w:cs="Abz-2 (Badr)"/>
          <w:color w:val="000000" w:themeColor="text1"/>
          <w:sz w:val="28"/>
          <w:szCs w:val="28"/>
          <w:rtl/>
          <w:lang w:bidi="ar"/>
        </w:rPr>
        <w:footnoteReference w:id="5"/>
      </w:r>
    </w:p>
    <w:p w14:paraId="470D3D75" w14:textId="77777777" w:rsidR="00860A59" w:rsidRDefault="00860A59" w:rsidP="00860A5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ـ همان گونه که صاحب مدارک نيز فرموده است</w:t>
      </w:r>
      <w:r>
        <w:rPr>
          <w:rStyle w:val="FootnoteReference"/>
          <w:rFonts w:cs="Abz-2 (Badr)"/>
          <w:color w:val="000000" w:themeColor="text1"/>
          <w:sz w:val="28"/>
          <w:szCs w:val="28"/>
          <w:rtl/>
          <w:lang w:bidi="ar"/>
        </w:rPr>
        <w:footnoteReference w:id="6"/>
      </w:r>
      <w:r>
        <w:rPr>
          <w:rFonts w:cs="Abz-2 (Badr)" w:hint="cs"/>
          <w:color w:val="000000" w:themeColor="text1"/>
          <w:sz w:val="28"/>
          <w:szCs w:val="28"/>
          <w:rtl/>
          <w:lang w:bidi="fa-IR"/>
        </w:rPr>
        <w:t xml:space="preserve"> ـ معلوم می</w:t>
      </w:r>
      <w:r>
        <w:rPr>
          <w:rFonts w:cs="Abz-2 (Badr)" w:hint="cs"/>
          <w:color w:val="000000" w:themeColor="text1"/>
          <w:sz w:val="28"/>
          <w:szCs w:val="28"/>
          <w:rtl/>
          <w:lang w:bidi="fa-IR"/>
        </w:rPr>
        <w:softHyphen/>
        <w:t>شود کسی که عاصم بن حميد از وی نقل می</w:t>
      </w:r>
      <w:r>
        <w:rPr>
          <w:rFonts w:cs="Abz-2 (Badr)" w:hint="cs"/>
          <w:color w:val="000000" w:themeColor="text1"/>
          <w:sz w:val="28"/>
          <w:szCs w:val="28"/>
          <w:rtl/>
          <w:lang w:bidi="fa-IR"/>
        </w:rPr>
        <w:softHyphen/>
        <w:t>کند، محمّد بن قيس بجلی است که دارای کتاب معروفی بوده و مورد وثوق کامل بوده است.</w:t>
      </w:r>
    </w:p>
    <w:p w14:paraId="61FB7BE8" w14:textId="77777777" w:rsidR="00860A59" w:rsidRDefault="00860A59" w:rsidP="00860A59">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fa-IR"/>
        </w:rPr>
        <w:t>اما ادعای ظهور روايت در مطلقه حامل به قرينه اخبار ديگری که در اين مورد وارد شده</w:t>
      </w:r>
      <w:r>
        <w:rPr>
          <w:rFonts w:cs="Abz-2 (Badr)" w:hint="cs"/>
          <w:color w:val="000000" w:themeColor="text1"/>
          <w:sz w:val="28"/>
          <w:szCs w:val="28"/>
          <w:rtl/>
          <w:lang w:bidi="fa-IR"/>
        </w:rPr>
        <w:softHyphen/>
        <w:t>اند نيز قابل قبول نيست</w:t>
      </w:r>
      <w:r>
        <w:rPr>
          <w:rFonts w:cs="Abz-2 (Badr)" w:hint="cs"/>
          <w:color w:val="000000" w:themeColor="text1"/>
          <w:sz w:val="28"/>
          <w:szCs w:val="28"/>
          <w:rtl/>
          <w:lang w:bidi="ar"/>
        </w:rPr>
        <w:t>، هرچند صاحب حدائق در توجيه آن فرموده است که چون فرد شائع متکثّر، مطلقه بائن است، اين مطلب سبب می</w:t>
      </w:r>
      <w:r>
        <w:rPr>
          <w:rFonts w:cs="Abz-2 (Badr)"/>
          <w:color w:val="000000" w:themeColor="text1"/>
          <w:sz w:val="28"/>
          <w:szCs w:val="28"/>
          <w:cs/>
          <w:lang w:bidi="ar"/>
        </w:rPr>
        <w:t>‎</w:t>
      </w:r>
      <w:r>
        <w:rPr>
          <w:rFonts w:cs="Abz-2 (Badr)" w:hint="cs"/>
          <w:color w:val="000000" w:themeColor="text1"/>
          <w:sz w:val="28"/>
          <w:szCs w:val="28"/>
          <w:rtl/>
          <w:lang w:bidi="ar"/>
        </w:rPr>
        <w:t>شود که در مقام جميع بين حسنه محمد بن قيس و اخبار ديگر، دست از اطلاق حسنه برداريم</w:t>
      </w:r>
      <w:r>
        <w:rPr>
          <w:rStyle w:val="FootnoteReference"/>
          <w:rFonts w:cs="Abz-2 (Badr)"/>
          <w:color w:val="000000" w:themeColor="text1"/>
          <w:sz w:val="28"/>
          <w:szCs w:val="28"/>
          <w:rtl/>
          <w:lang w:bidi="ar"/>
        </w:rPr>
        <w:footnoteReference w:id="7"/>
      </w:r>
      <w:r>
        <w:rPr>
          <w:rFonts w:cs="Abz-2 (Badr)" w:hint="cs"/>
          <w:color w:val="000000" w:themeColor="text1"/>
          <w:sz w:val="28"/>
          <w:szCs w:val="28"/>
          <w:rtl/>
          <w:lang w:bidi="ar"/>
        </w:rPr>
        <w:t>.</w:t>
      </w:r>
    </w:p>
    <w:p w14:paraId="07CD5B49" w14:textId="77777777" w:rsidR="00860A59" w:rsidRDefault="00860A59" w:rsidP="00860A59">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ولی هيچ گونه تنافی بين حسنه محمد بن قيس و اخبار ديگر وجود ندارد تا برای رفع آن ناچار شوين دست از اطلاق حسنه برداريم.</w:t>
      </w:r>
    </w:p>
    <w:p w14:paraId="6C33B77D" w14:textId="77777777" w:rsidR="00860A59" w:rsidRDefault="00860A59" w:rsidP="00860A59">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lastRenderedPageBreak/>
        <w:t>ادعای انصراف حسنه به فرد شائع متکثر نيز قابل قبول نيست، چون انصراف ناشی از غلبه وجودی بدوی بوده و سبب نمی</w:t>
      </w:r>
      <w:r>
        <w:rPr>
          <w:rFonts w:cs="Abz-2 (Badr)" w:hint="cs"/>
          <w:color w:val="000000" w:themeColor="text1"/>
          <w:sz w:val="28"/>
          <w:szCs w:val="28"/>
          <w:rtl/>
          <w:lang w:bidi="ar"/>
        </w:rPr>
        <w:softHyphen/>
        <w:t>شود که اطلاق دليل دچار خدشه گردد.</w:t>
      </w:r>
    </w:p>
    <w:p w14:paraId="17132A8D" w14:textId="77777777" w:rsidR="00860A59" w:rsidRDefault="00860A59" w:rsidP="00860A59">
      <w:pPr>
        <w:widowControl w:val="0"/>
        <w:bidi/>
        <w:spacing w:after="0"/>
        <w:ind w:firstLine="284"/>
        <w:jc w:val="both"/>
        <w:rPr>
          <w:rFonts w:cs="Abz-2 (Badr)" w:hint="cs"/>
          <w:color w:val="000000" w:themeColor="text1"/>
          <w:sz w:val="28"/>
          <w:szCs w:val="28"/>
          <w:rtl/>
          <w:lang w:bidi="ar"/>
        </w:rPr>
      </w:pPr>
      <w:bookmarkStart w:id="3" w:name="_Hlk220333664"/>
      <w:r>
        <w:rPr>
          <w:rFonts w:cs="Abz-2 (Badr)" w:hint="cs"/>
          <w:color w:val="000000" w:themeColor="text1"/>
          <w:sz w:val="28"/>
          <w:szCs w:val="28"/>
          <w:rtl/>
          <w:lang w:bidi="ar"/>
        </w:rPr>
        <w:t>اما آنچه که سبب اشکال در دلالت روايت می</w:t>
      </w:r>
      <w:r>
        <w:rPr>
          <w:rFonts w:cs="Abz-2 (Badr)" w:hint="cs"/>
          <w:color w:val="000000" w:themeColor="text1"/>
          <w:sz w:val="28"/>
          <w:szCs w:val="28"/>
          <w:rtl/>
          <w:lang w:bidi="ar"/>
        </w:rPr>
        <w:softHyphen/>
        <w:t>شود، اجمال در مرجع ضمير در عبارت: «عليه نفقتها» است، زيرا هرچند می</w:t>
      </w:r>
      <w:r>
        <w:rPr>
          <w:rFonts w:cs="Abz-2 (Badr)" w:hint="cs"/>
          <w:color w:val="000000" w:themeColor="text1"/>
          <w:sz w:val="28"/>
          <w:szCs w:val="28"/>
          <w:rtl/>
          <w:lang w:bidi="ar"/>
        </w:rPr>
        <w:softHyphen/>
        <w:t>توان ادعا کرد که ضمير در اين عبارت بازگشت به کسی دارد که سبب حمل شده است، اما اين مرجع در روايت مذکور نيست و از عبارت: «الحامل» چنين مرجعی استنباط می</w:t>
      </w:r>
      <w:r>
        <w:rPr>
          <w:rFonts w:cs="Abz-2 (Badr)" w:hint="cs"/>
          <w:color w:val="000000" w:themeColor="text1"/>
          <w:sz w:val="28"/>
          <w:szCs w:val="28"/>
          <w:rtl/>
          <w:lang w:bidi="ar"/>
        </w:rPr>
        <w:softHyphen/>
        <w:t>گردد، در حالی که در برخی از موارد نمی</w:t>
      </w:r>
      <w:r>
        <w:rPr>
          <w:rFonts w:cs="Abz-2 (Badr)" w:hint="cs"/>
          <w:color w:val="000000" w:themeColor="text1"/>
          <w:sz w:val="28"/>
          <w:szCs w:val="28"/>
          <w:rtl/>
          <w:lang w:bidi="ar"/>
        </w:rPr>
        <w:softHyphen/>
        <w:t>توان نفقه را بر کسی که سبب حمل شده است، واجب دانست؛ مثلاً در نکاح موقت از آنجا که حتی در صورت بقاء زوجيت نيز نفقه زوجه حامل بر زوج واجب نيست، وجهی برای اين که نفقه زوجه را در صورت حمل بعد از انقضاء مدت نکاح بر زوج واجب بدانيم، وجود ندارد.</w:t>
      </w:r>
    </w:p>
    <w:p w14:paraId="55542BAD" w14:textId="77777777" w:rsidR="00860A59" w:rsidRDefault="00860A59" w:rsidP="00860A5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بنابر اين با وجود اجمال در مرجع ضمير مذکور، هرچند می</w:t>
      </w:r>
      <w:r>
        <w:rPr>
          <w:rFonts w:cs="Abz-2 (Badr)" w:hint="cs"/>
          <w:color w:val="000000" w:themeColor="text1"/>
          <w:sz w:val="28"/>
          <w:szCs w:val="28"/>
          <w:rtl/>
          <w:lang w:bidi="ar"/>
        </w:rPr>
        <w:softHyphen/>
        <w:t>توان ادعا کرد که قدر متيقّن از حسنه محمد بن قيس با توجه به ادله ديگر زوجی است که زوجه خود را طلاق داده است، اما مقتضای احتياط اين است که در مطلق مواردی که زنی از مردی حمل برداشته و تا پايان حمل بر وی نگه داشتن عده لازم است، در خصوص نفقه بين آنان مصالحه صورت بپذيرد.</w:t>
      </w:r>
      <w:bookmarkEnd w:id="1"/>
      <w:bookmarkEnd w:id="2"/>
      <w:bookmarkEnd w:id="3"/>
    </w:p>
    <w:p w14:paraId="2AD04477" w14:textId="7D63A4A4" w:rsidR="00B706A3" w:rsidRPr="00860A59" w:rsidRDefault="00B706A3" w:rsidP="00860A59">
      <w:pPr>
        <w:rPr>
          <w:rtl/>
        </w:rPr>
      </w:pPr>
    </w:p>
    <w:sectPr w:rsidR="00B706A3" w:rsidRPr="00860A59"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228A3" w14:textId="77777777" w:rsidR="00F6026B" w:rsidRDefault="00F6026B" w:rsidP="00F71127">
      <w:pPr>
        <w:spacing w:after="0" w:line="240" w:lineRule="auto"/>
      </w:pPr>
      <w:r>
        <w:separator/>
      </w:r>
    </w:p>
  </w:endnote>
  <w:endnote w:type="continuationSeparator" w:id="0">
    <w:p w14:paraId="18E13CDB" w14:textId="77777777" w:rsidR="00F6026B" w:rsidRDefault="00F6026B"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6F8A" w14:textId="77777777" w:rsidR="00FB24D5" w:rsidRDefault="00FB2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C8A2" w14:textId="77777777" w:rsidR="00FB24D5" w:rsidRDefault="00FB2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705DC" w14:textId="77777777" w:rsidR="00F6026B" w:rsidRDefault="00F6026B" w:rsidP="00EE25C0">
      <w:pPr>
        <w:bidi/>
        <w:spacing w:after="0" w:line="240" w:lineRule="auto"/>
      </w:pPr>
      <w:r>
        <w:separator/>
      </w:r>
    </w:p>
  </w:footnote>
  <w:footnote w:type="continuationSeparator" w:id="0">
    <w:p w14:paraId="4D63E7FD" w14:textId="77777777" w:rsidR="00F6026B" w:rsidRDefault="00F6026B" w:rsidP="00F71127">
      <w:pPr>
        <w:bidi/>
        <w:spacing w:after="0" w:line="240" w:lineRule="auto"/>
      </w:pPr>
      <w:r>
        <w:continuationSeparator/>
      </w:r>
    </w:p>
  </w:footnote>
  <w:footnote w:id="1">
    <w:p w14:paraId="191C7E7E" w14:textId="77777777" w:rsidR="00860A59" w:rsidRDefault="00860A59" w:rsidP="00860A5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کافی،ج6،ص103،ح1 ـ وسائل الشيعة، الباب 7 من أبواب النفقات،ح3،ج21،ص518.</w:t>
      </w:r>
    </w:p>
  </w:footnote>
  <w:footnote w:id="2">
    <w:p w14:paraId="752D57CD" w14:textId="77777777" w:rsidR="00860A59" w:rsidRDefault="00860A59" w:rsidP="00860A5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مبسوط</w:t>
      </w:r>
      <w:r>
        <w:rPr>
          <w:rFonts w:cs="Abz-2 (Badr)" w:hint="cs"/>
          <w:rtl/>
          <w:lang w:bidi="fa-IR"/>
        </w:rPr>
        <w:t>،ج6،ص24.</w:t>
      </w:r>
    </w:p>
  </w:footnote>
  <w:footnote w:id="3">
    <w:p w14:paraId="678E3DDE" w14:textId="77777777" w:rsidR="00860A59" w:rsidRDefault="00860A59" w:rsidP="00860A5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،ج31،ص360.</w:t>
      </w:r>
    </w:p>
  </w:footnote>
  <w:footnote w:id="4">
    <w:p w14:paraId="56E86B27" w14:textId="77777777" w:rsidR="00860A59" w:rsidRDefault="00860A59" w:rsidP="00860A5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 xml:space="preserve"> الأفهام،ج8،ص475.</w:t>
      </w:r>
    </w:p>
  </w:footnote>
  <w:footnote w:id="5">
    <w:p w14:paraId="2D639A86" w14:textId="77777777" w:rsidR="00860A59" w:rsidRDefault="00860A59" w:rsidP="00860A5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رجال نجاشی</w:t>
      </w:r>
      <w:r>
        <w:rPr>
          <w:rFonts w:cs="Abz-2 (Badr)" w:hint="cs"/>
          <w:rtl/>
          <w:lang w:bidi="fa-IR"/>
        </w:rPr>
        <w:t>،ص322 و 323.</w:t>
      </w:r>
    </w:p>
  </w:footnote>
  <w:footnote w:id="6">
    <w:p w14:paraId="612BDAF9" w14:textId="77777777" w:rsidR="00860A59" w:rsidRDefault="00860A59" w:rsidP="00860A5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نهاية المرام</w:t>
      </w:r>
      <w:r>
        <w:rPr>
          <w:rFonts w:cs="Abz-2 (Badr)" w:hint="cs"/>
          <w:rtl/>
          <w:lang w:bidi="fa-IR"/>
        </w:rPr>
        <w:t>،ج1،ص403.</w:t>
      </w:r>
    </w:p>
  </w:footnote>
  <w:footnote w:id="7">
    <w:p w14:paraId="6A7C698E" w14:textId="77777777" w:rsidR="00860A59" w:rsidRDefault="00860A59" w:rsidP="00860A5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الحدائق الناضرة</w:t>
      </w:r>
      <w:r>
        <w:rPr>
          <w:rFonts w:cs="Abz-2 (Badr)" w:hint="cs"/>
          <w:rtl/>
          <w:lang w:bidi="fa-IR"/>
        </w:rPr>
        <w:t>،ج25،ص130.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C320" w14:textId="77777777" w:rsidR="00FB24D5" w:rsidRDefault="00FB2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AEEBACD"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860A59">
                            <w:rPr>
                              <w:rFonts w:cs="B Mehr" w:hint="cs"/>
                              <w:rtl/>
                              <w:lang w:bidi="fa-IR"/>
                            </w:rPr>
                            <w:t xml:space="preserve">سه </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860A59">
                            <w:rPr>
                              <w:rFonts w:cs="B Mehr" w:hint="cs"/>
                              <w:rtl/>
                            </w:rPr>
                            <w:t xml:space="preserve">7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AEEBACD"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860A59">
                      <w:rPr>
                        <w:rFonts w:cs="B Mehr" w:hint="cs"/>
                        <w:rtl/>
                        <w:lang w:bidi="fa-IR"/>
                      </w:rPr>
                      <w:t xml:space="preserve">سه </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860A59">
                      <w:rPr>
                        <w:rFonts w:cs="B Mehr" w:hint="cs"/>
                        <w:rtl/>
                      </w:rPr>
                      <w:t xml:space="preserve">7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C746" w14:textId="77777777" w:rsidR="00FB24D5" w:rsidRDefault="00FB2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21736</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724</cp:revision>
  <cp:lastPrinted>2025-04-14T09:12:00Z</cp:lastPrinted>
  <dcterms:created xsi:type="dcterms:W3CDTF">2022-10-16T08:36:00Z</dcterms:created>
  <dcterms:modified xsi:type="dcterms:W3CDTF">2026-01-29T17:52:00Z</dcterms:modified>
</cp:coreProperties>
</file>