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D8C5F" w14:textId="77777777" w:rsidR="00FB24D5" w:rsidRDefault="00FB24D5" w:rsidP="00FB24D5">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558EF6B2" w14:textId="77777777" w:rsidR="00FB24D5" w:rsidRDefault="00FB24D5" w:rsidP="00FB24D5">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689AF0DD" w14:textId="77777777" w:rsidR="00FB24D5" w:rsidRDefault="00FB24D5" w:rsidP="00FB24D5">
      <w:pPr>
        <w:widowControl w:val="0"/>
        <w:bidi/>
        <w:spacing w:after="0"/>
        <w:jc w:val="center"/>
        <w:rPr>
          <w:rFonts w:cs="B Mitra" w:hint="cs"/>
          <w:b/>
          <w:bCs/>
          <w:sz w:val="32"/>
          <w:szCs w:val="32"/>
          <w:rtl/>
        </w:rPr>
      </w:pPr>
      <w:r>
        <w:rPr>
          <w:rFonts w:cs="B Mitra" w:hint="cs"/>
          <w:b/>
          <w:bCs/>
          <w:sz w:val="32"/>
          <w:szCs w:val="32"/>
          <w:rtl/>
          <w:lang w:bidi="fa-IR"/>
        </w:rPr>
        <w:t>جلسه 910</w:t>
      </w:r>
    </w:p>
    <w:p w14:paraId="1B174533" w14:textId="77777777" w:rsidR="00FB24D5" w:rsidRDefault="00FB24D5" w:rsidP="00FB24D5">
      <w:pPr>
        <w:widowControl w:val="0"/>
        <w:bidi/>
        <w:spacing w:after="0"/>
        <w:ind w:firstLine="284"/>
        <w:jc w:val="both"/>
        <w:rPr>
          <w:rFonts w:cs="Abz-2 (Badr)" w:hint="cs"/>
          <w:color w:val="000000" w:themeColor="text1"/>
          <w:sz w:val="28"/>
          <w:szCs w:val="28"/>
          <w:rtl/>
          <w:lang w:bidi="fa-IR"/>
        </w:rPr>
      </w:pPr>
      <w:bookmarkStart w:id="0" w:name="_Hlk159096966"/>
    </w:p>
    <w:p w14:paraId="66C6731E" w14:textId="77777777" w:rsidR="00FB24D5" w:rsidRDefault="00FB24D5" w:rsidP="00FB24D5">
      <w:pPr>
        <w:widowControl w:val="0"/>
        <w:bidi/>
        <w:spacing w:after="0"/>
        <w:ind w:firstLine="284"/>
        <w:jc w:val="both"/>
        <w:rPr>
          <w:rFonts w:cs="Abz-2 (Badr)" w:hint="cs"/>
          <w:color w:val="0070C0"/>
          <w:sz w:val="28"/>
          <w:szCs w:val="28"/>
          <w:rtl/>
        </w:rPr>
      </w:pPr>
      <w:bookmarkStart w:id="1" w:name="_Hlk220068917"/>
      <w:bookmarkStart w:id="2" w:name="_Hlk217813422"/>
      <w:bookmarkStart w:id="3" w:name="_Hlk217856631"/>
      <w:bookmarkEnd w:id="0"/>
      <w:r>
        <w:rPr>
          <w:rFonts w:cs="Abz-2 (Badr)" w:hint="cs"/>
          <w:color w:val="000000" w:themeColor="text1"/>
          <w:sz w:val="28"/>
          <w:szCs w:val="28"/>
          <w:rtl/>
          <w:lang w:bidi="fa-IR"/>
        </w:rPr>
        <w:t>صاحب جواهر با اشکال بر استدلال شهيد ثانی بر لزوم احراز شرط در وجوب نفقه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فيه: أنّ محلّ البحث في قبول دعواها وعدمه، إذ على فرضه لا تنفع قاعدة الشرط ولا غيرها، لكونه حينئذٍ طريقاً شرعيّاً للحكم بتحقّقه، كما أنّه لا وجه للوجوب مع عدمه لما ذكر.</w:t>
      </w:r>
    </w:p>
    <w:p w14:paraId="663B2B93" w14:textId="77777777" w:rsidR="00FB24D5" w:rsidRDefault="00FB24D5" w:rsidP="00FB24D5">
      <w:pPr>
        <w:widowControl w:val="0"/>
        <w:bidi/>
        <w:spacing w:after="0"/>
        <w:ind w:firstLine="284"/>
        <w:jc w:val="both"/>
        <w:rPr>
          <w:rFonts w:cs="Abz-2 (Badr)" w:hint="cs"/>
          <w:color w:val="0070C0"/>
          <w:sz w:val="28"/>
          <w:szCs w:val="28"/>
          <w:rtl/>
        </w:rPr>
      </w:pPr>
      <w:r>
        <w:rPr>
          <w:rFonts w:cs="Abz-2 (Badr)" w:hint="cs"/>
          <w:color w:val="0070C0"/>
          <w:sz w:val="28"/>
          <w:szCs w:val="28"/>
          <w:rtl/>
        </w:rPr>
        <w:t>ودعوى المقدّميّة المنافية لقاعدة الشرطيّة في نحو المقام واضحة الفساد، لعدم تحقّق الخطاب بذي المقدّمة.</w:t>
      </w:r>
    </w:p>
    <w:p w14:paraId="070392E7" w14:textId="77777777" w:rsidR="00FB24D5" w:rsidRDefault="00FB24D5" w:rsidP="00FB24D5">
      <w:pPr>
        <w:widowControl w:val="0"/>
        <w:bidi/>
        <w:spacing w:after="0"/>
        <w:ind w:firstLine="284"/>
        <w:jc w:val="both"/>
        <w:rPr>
          <w:rFonts w:cs="Abz-2 (Badr)" w:hint="cs"/>
          <w:color w:val="000000" w:themeColor="text1"/>
          <w:sz w:val="28"/>
          <w:szCs w:val="28"/>
          <w:rtl/>
          <w:lang w:bidi="fa-IR"/>
        </w:rPr>
      </w:pPr>
      <w:r>
        <w:rPr>
          <w:rFonts w:cs="Abz-2 (Badr)" w:hint="cs"/>
          <w:color w:val="0070C0"/>
          <w:sz w:val="28"/>
          <w:szCs w:val="28"/>
          <w:rtl/>
        </w:rPr>
        <w:t>كوضوح فساد دعوى كون المقام من قاعدة «كلّ ما لا يعلم إلا من قبل المدّعي»، ضرورة عدم الفرق بين المدّعي وغيره في عدم معرفة الواقع على وجه اليقين، وفي اشتراكهما في الطمأنينة بالأمارات الظاهرة على وجه يصدق عليها أنّها حامل كما في غير المقام ممّا علّق عليه حكم للحمل. والظاهر أنّ ذلك هو المدار في وجوب الإنفاق، فإن صادف وإلا استعيد.»</w:t>
      </w:r>
      <w:r>
        <w:rPr>
          <w:rStyle w:val="FootnoteReference"/>
          <w:rFonts w:cs="Abz-2 (Badr)"/>
          <w:color w:val="000000" w:themeColor="text1"/>
          <w:sz w:val="28"/>
          <w:szCs w:val="28"/>
          <w:rtl/>
          <w:lang w:bidi="ar"/>
        </w:rPr>
        <w:footnoteReference w:id="1"/>
      </w:r>
    </w:p>
    <w:p w14:paraId="2F275BFF" w14:textId="77777777" w:rsidR="00FB24D5" w:rsidRDefault="00FB24D5" w:rsidP="00FB24D5">
      <w:pPr>
        <w:widowControl w:val="0"/>
        <w:bidi/>
        <w:spacing w:after="0"/>
        <w:ind w:firstLine="284"/>
        <w:jc w:val="both"/>
        <w:rPr>
          <w:rFonts w:cs="Abz-2 (Badr)" w:hint="cs"/>
          <w:color w:val="0070C0"/>
          <w:sz w:val="28"/>
          <w:szCs w:val="28"/>
          <w:rtl/>
          <w:lang w:bidi="ar"/>
        </w:rPr>
      </w:pPr>
      <w:r>
        <w:rPr>
          <w:rFonts w:cs="Abz-2 (Badr)" w:hint="cs"/>
          <w:color w:val="000000" w:themeColor="text1"/>
          <w:sz w:val="28"/>
          <w:szCs w:val="28"/>
          <w:rtl/>
          <w:lang w:bidi="fa-IR"/>
        </w:rPr>
        <w:t>و در جای ديگری نيز فرموده</w:t>
      </w:r>
      <w:r>
        <w:rPr>
          <w:rFonts w:cs="Abz-2 (Badr)" w:hint="cs"/>
          <w:color w:val="000000" w:themeColor="text1"/>
          <w:sz w:val="28"/>
          <w:szCs w:val="28"/>
          <w:rtl/>
          <w:lang w:bidi="fa-IR"/>
        </w:rPr>
        <w:softHyphen/>
        <w:t xml:space="preserve">اند: </w:t>
      </w:r>
      <w:r>
        <w:rPr>
          <w:rFonts w:cs="Abz-2 (Badr)" w:hint="cs"/>
          <w:color w:val="0070C0"/>
          <w:sz w:val="28"/>
          <w:szCs w:val="28"/>
          <w:rtl/>
          <w:lang w:bidi="fa-IR"/>
        </w:rPr>
        <w:t>«</w:t>
      </w:r>
      <w:r>
        <w:rPr>
          <w:rFonts w:cs="Abz-2 (Badr)" w:hint="cs"/>
          <w:color w:val="0070C0"/>
          <w:sz w:val="28"/>
          <w:szCs w:val="28"/>
          <w:rtl/>
          <w:lang w:bidi="ar"/>
        </w:rPr>
        <w:t>لو ظهر بها أمارات الحمل بعد الطلاق على وجه تحصل به الطمأنينة عرفاً، فعليه النفقة حينئذٍ إلى أن تضع أو يبيّن الحال.»</w:t>
      </w:r>
      <w:r>
        <w:rPr>
          <w:rStyle w:val="FootnoteReference"/>
          <w:rFonts w:cs="Abz-2 (Badr)"/>
          <w:color w:val="000000" w:themeColor="text1"/>
          <w:sz w:val="28"/>
          <w:szCs w:val="28"/>
          <w:rtl/>
          <w:lang w:bidi="ar"/>
        </w:rPr>
        <w:footnoteReference w:id="2"/>
      </w:r>
      <w:bookmarkEnd w:id="1"/>
    </w:p>
    <w:p w14:paraId="14010255"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اشکال ايشان بر مدعای شهيد ثانی وارد نيست، زيرا مدعای شهيد ثانی عدم وجوب نفقه به جهت عدم احراز موضوع آن است که وجه آن، نبود دليل برای اعتبار قول مطلقه در اين مقام است.</w:t>
      </w:r>
    </w:p>
    <w:p w14:paraId="05C32F4E"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علاوه بر آنچه که صاحب جواهر به عنوان اشکال بر لزوم مقدمی دفع نفقه به مجرد ادعای زوجه بيان کرده</w:t>
      </w:r>
      <w:r>
        <w:rPr>
          <w:rFonts w:cs="Abz-2 (Badr)" w:hint="cs"/>
          <w:color w:val="000000" w:themeColor="text1"/>
          <w:sz w:val="28"/>
          <w:szCs w:val="28"/>
          <w:rtl/>
          <w:lang w:bidi="ar"/>
        </w:rPr>
        <w:softHyphen/>
        <w:t>اند، اشکال ديگر آن اين است که مقدمه مذکور، مقدمه علم است نه مقدمه وجود، و مقدمه علم دارای وجوب مقدمی نيست.</w:t>
      </w:r>
    </w:p>
    <w:p w14:paraId="2BFA6E32"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lastRenderedPageBreak/>
        <w:t>اشکالی که بر مدعای برخی از اصحاب وارد است نيز اين است که با وجود قبول غلبه ظن به عنوان ملاک در زمان وجوب دفع نفقه، آن را منوط بر شهادت قوابل کرده</w:t>
      </w:r>
      <w:r>
        <w:rPr>
          <w:rFonts w:cs="Abz-2 (Badr)" w:hint="cs"/>
          <w:color w:val="000000" w:themeColor="text1"/>
          <w:sz w:val="28"/>
          <w:szCs w:val="28"/>
          <w:rtl/>
          <w:lang w:bidi="ar"/>
        </w:rPr>
        <w:softHyphen/>
        <w:t>اند، در حالی که قبول شهادت قوابل از باب تعبد است نه از باب افاده ظن شخصی.</w:t>
      </w:r>
    </w:p>
    <w:p w14:paraId="41624A1B"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آنچه که برخی ديگر از اصحاب به آن قائل شده</w:t>
      </w:r>
      <w:r>
        <w:rPr>
          <w:rFonts w:cs="Abz-2 (Badr)" w:hint="cs"/>
          <w:color w:val="000000" w:themeColor="text1"/>
          <w:sz w:val="28"/>
          <w:szCs w:val="28"/>
          <w:rtl/>
          <w:lang w:bidi="ar"/>
        </w:rPr>
        <w:softHyphen/>
        <w:t>اند مبنی بر کفايت مجرد ادعای مطلقه نيز وجهی برای آن معلوم نيست، و آنچه که کاشف اللثام در استدلال بر آن فرموده است مبنی بر اين که در غير اين صورت اضرار لازم می</w:t>
      </w:r>
      <w:r>
        <w:rPr>
          <w:rFonts w:cs="Abz-2 (Badr)" w:hint="cs"/>
          <w:color w:val="000000" w:themeColor="text1"/>
          <w:sz w:val="28"/>
          <w:szCs w:val="28"/>
          <w:rtl/>
          <w:lang w:bidi="ar"/>
        </w:rPr>
        <w:softHyphen/>
        <w:t>آيد، نمی</w:t>
      </w:r>
      <w:r>
        <w:rPr>
          <w:rFonts w:cs="Abz-2 (Badr)" w:hint="cs"/>
          <w:color w:val="000000" w:themeColor="text1"/>
          <w:sz w:val="28"/>
          <w:szCs w:val="28"/>
          <w:rtl/>
          <w:lang w:bidi="ar"/>
        </w:rPr>
        <w:softHyphen/>
        <w:t>تواند مستند وجوب نفقه باشد، چون وجوب نفقه نيز سبب اضرار مطلق می</w:t>
      </w:r>
      <w:r>
        <w:rPr>
          <w:rFonts w:cs="Abz-2 (Badr)" w:hint="cs"/>
          <w:color w:val="000000" w:themeColor="text1"/>
          <w:sz w:val="28"/>
          <w:szCs w:val="28"/>
          <w:rtl/>
          <w:lang w:bidi="ar"/>
        </w:rPr>
        <w:softHyphen/>
        <w:t>گردد.</w:t>
      </w:r>
    </w:p>
    <w:p w14:paraId="72C1D4C2"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در نتيجه مقتضای تحقيق در مسأله اين است که همان گونه که صاحب جواهر بيان کردند، مادامی که اطمينان نوعی به وجود حمل وجود نداشته باشد، دادن نفقه واجب نيست و اين اطمينان می</w:t>
      </w:r>
      <w:r>
        <w:rPr>
          <w:rFonts w:cs="Abz-2 (Badr)" w:hint="cs"/>
          <w:color w:val="000000" w:themeColor="text1"/>
          <w:sz w:val="28"/>
          <w:szCs w:val="28"/>
          <w:rtl/>
          <w:lang w:bidi="ar"/>
        </w:rPr>
        <w:softHyphen/>
        <w:t>تواند ناشی از امارات حمل باشد. دليل کفايت اطمينان نوعی در اين مقام نيز کفايت آن در مقامات ديگر نظير اين مقام است به نحوی که می</w:t>
      </w:r>
      <w:r>
        <w:rPr>
          <w:rFonts w:cs="Abz-2 (Badr)" w:hint="cs"/>
          <w:color w:val="000000" w:themeColor="text1"/>
          <w:sz w:val="28"/>
          <w:szCs w:val="28"/>
          <w:rtl/>
          <w:lang w:bidi="ar"/>
        </w:rPr>
        <w:softHyphen/>
        <w:t>توان ادعای سيره عقلائيه در خصوص آن نمود.</w:t>
      </w:r>
    </w:p>
    <w:p w14:paraId="110C0659"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lang w:bidi="ar"/>
        </w:rPr>
        <w:t>اما شهادت قوابل به عنوان بينه شرعی، در واقع شهادت بر وجود اين امارات است، زيرا قوابل امکان تحصيل علم به وجود حمل را ندارند، بلکه از طريق امارات، اطمينان به وجود حمل در آنها ايجاد می</w:t>
      </w:r>
      <w:r>
        <w:rPr>
          <w:rFonts w:cs="Abz-2 (Badr)" w:hint="cs"/>
          <w:color w:val="000000" w:themeColor="text1"/>
          <w:sz w:val="28"/>
          <w:szCs w:val="28"/>
          <w:rtl/>
          <w:lang w:bidi="ar"/>
        </w:rPr>
        <w:softHyphen/>
        <w:t>گردد.</w:t>
      </w:r>
    </w:p>
    <w:p w14:paraId="155C3F27" w14:textId="77777777" w:rsidR="00FB24D5" w:rsidRDefault="00FB24D5" w:rsidP="00FB24D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کلمات محقق گذشت که چنانچه پس از دادن نفقه معلوم شود که حملی وجود نداشته است، آنچه داده شده قابل بازپس</w:t>
      </w:r>
      <w:r>
        <w:rPr>
          <w:rFonts w:cs="Abz-2 (Badr)" w:hint="cs"/>
          <w:color w:val="000000" w:themeColor="text1"/>
          <w:sz w:val="28"/>
          <w:szCs w:val="28"/>
          <w:rtl/>
          <w:lang w:bidi="fa-IR"/>
        </w:rPr>
        <w:softHyphen/>
        <w:t>گيری است.</w:t>
      </w:r>
    </w:p>
    <w:p w14:paraId="0EEF8533" w14:textId="77777777" w:rsidR="00FB24D5" w:rsidRDefault="00FB24D5" w:rsidP="00FB24D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 xml:space="preserve">اما صاحب رياض در اين خصوص فرموده است: </w:t>
      </w:r>
      <w:r>
        <w:rPr>
          <w:rFonts w:cs="Abz-2 (Badr)" w:hint="cs"/>
          <w:color w:val="0070C0"/>
          <w:sz w:val="28"/>
          <w:szCs w:val="28"/>
          <w:rtl/>
          <w:lang w:bidi="fa-IR"/>
        </w:rPr>
        <w:t>«</w:t>
      </w:r>
      <w:r>
        <w:rPr>
          <w:rFonts w:cs="Abz-2 (Badr)" w:hint="cs"/>
          <w:color w:val="0070C0"/>
          <w:sz w:val="28"/>
          <w:szCs w:val="28"/>
          <w:rtl/>
          <w:lang w:bidi="ar"/>
        </w:rPr>
        <w:t>لو بان فقد الحمل بعد الإنفاق، ففي ارتجاع المدفوع إليها تردّد أظهره العدم، للأصل، إلا إذا دلّست عليه الحمل فيرتجع، للغرور.»</w:t>
      </w:r>
      <w:r>
        <w:rPr>
          <w:rStyle w:val="FootnoteReference"/>
          <w:rFonts w:cs="Abz-2 (Badr)"/>
          <w:color w:val="000000" w:themeColor="text1"/>
          <w:sz w:val="28"/>
          <w:szCs w:val="28"/>
          <w:rtl/>
          <w:lang w:bidi="ar"/>
        </w:rPr>
        <w:footnoteReference w:id="3"/>
      </w:r>
    </w:p>
    <w:p w14:paraId="15D5BAB0" w14:textId="77777777" w:rsidR="00FB24D5" w:rsidRDefault="00FB24D5" w:rsidP="00FB24D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ظاهر اين مدعا اين است که مبتنی بر کفايت ظن به حمل به عنوان موضوع وجوب نفقه و عدم اخذ حمل واقعی به عنوان موضوع آن است.</w:t>
      </w:r>
    </w:p>
    <w:p w14:paraId="4367BE84" w14:textId="77777777" w:rsidR="00FB24D5" w:rsidRDefault="00FB24D5" w:rsidP="00FB24D5">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اما کاشف اللثام در اشکال بر اين مطلب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lang w:bidi="ar"/>
        </w:rPr>
        <w:t xml:space="preserve">ما يتوهّم من أنّها لمّا استحقّها بظنّ‌ الحمل، كان الاسترداد خلاف </w:t>
      </w:r>
      <w:r>
        <w:rPr>
          <w:rFonts w:cs="Abz-2 (Badr)" w:hint="cs"/>
          <w:color w:val="0070C0"/>
          <w:sz w:val="28"/>
          <w:szCs w:val="28"/>
          <w:rtl/>
          <w:lang w:bidi="ar"/>
        </w:rPr>
        <w:lastRenderedPageBreak/>
        <w:t>الأصل، مضمحلّ‌ بأنّ‌ الإنفاق خلاف الأصل، والنصّ‌ إنّما تضمّن الإنفاق على أولات الحمل، فلمّا ظهر فساد الظنّ‌ علم الخروج من النصّ‌، وظاهر أنّ‌ استحقاقها بالظنّ‌ استحقاق مراعى.»</w:t>
      </w:r>
      <w:r>
        <w:rPr>
          <w:rStyle w:val="FootnoteReference"/>
          <w:rFonts w:cs="Abz-2 (Badr)"/>
          <w:color w:val="000000" w:themeColor="text1"/>
          <w:sz w:val="28"/>
          <w:szCs w:val="28"/>
          <w:rtl/>
          <w:lang w:bidi="ar"/>
        </w:rPr>
        <w:footnoteReference w:id="4"/>
      </w:r>
    </w:p>
    <w:p w14:paraId="7E0499DA" w14:textId="77777777" w:rsidR="00FB24D5" w:rsidRDefault="00FB24D5" w:rsidP="00FB24D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حق نيز در اين مطلب با کاشف اللثام است، زيرا آنچه که در موضوع ادله مأخوذ است، حمل بر واقع می</w:t>
      </w:r>
      <w:r>
        <w:rPr>
          <w:rFonts w:cs="Abz-2 (Badr)" w:hint="cs"/>
          <w:color w:val="000000" w:themeColor="text1"/>
          <w:sz w:val="28"/>
          <w:szCs w:val="28"/>
          <w:rtl/>
        </w:rPr>
        <w:softHyphen/>
        <w:t>شود نه بر مظنون، و ظن تنها طريقی برای کشف از واقع است که در صورت عدم اصابه، حکمی بر آن مترتب نمی</w:t>
      </w:r>
      <w:r>
        <w:rPr>
          <w:rFonts w:cs="Abz-2 (Badr)" w:hint="cs"/>
          <w:color w:val="000000" w:themeColor="text1"/>
          <w:sz w:val="28"/>
          <w:szCs w:val="28"/>
          <w:rtl/>
        </w:rPr>
        <w:softHyphen/>
        <w:t>گردد.</w:t>
      </w:r>
    </w:p>
    <w:p w14:paraId="118F407A" w14:textId="77777777" w:rsidR="00FB24D5" w:rsidRDefault="00FB24D5" w:rsidP="00FB24D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اما برخی از عامه در مسأله قائل به تفصيل شده</w:t>
      </w:r>
      <w:r>
        <w:rPr>
          <w:rFonts w:cs="Abz-2 (Badr)" w:hint="cs"/>
          <w:color w:val="000000" w:themeColor="text1"/>
          <w:sz w:val="28"/>
          <w:szCs w:val="28"/>
          <w:rtl/>
        </w:rPr>
        <w:softHyphen/>
        <w:t>اند.</w:t>
      </w:r>
    </w:p>
    <w:p w14:paraId="3FA93A99" w14:textId="77777777" w:rsidR="00FB24D5" w:rsidRDefault="00FB24D5" w:rsidP="00FB24D5">
      <w:pPr>
        <w:widowControl w:val="0"/>
        <w:bidi/>
        <w:spacing w:after="0"/>
        <w:ind w:firstLine="284"/>
        <w:jc w:val="both"/>
        <w:rPr>
          <w:rFonts w:cs="Abz-2 (Badr)" w:hint="cs"/>
          <w:color w:val="0070C0"/>
          <w:sz w:val="28"/>
          <w:szCs w:val="28"/>
          <w:rtl/>
        </w:rPr>
      </w:pPr>
      <w:r>
        <w:rPr>
          <w:rFonts w:cs="Abz-2 (Badr)" w:hint="cs"/>
          <w:color w:val="000000" w:themeColor="text1"/>
          <w:sz w:val="28"/>
          <w:szCs w:val="28"/>
          <w:rtl/>
        </w:rPr>
        <w:t>نووی در مجموع می</w:t>
      </w:r>
      <w:r>
        <w:rPr>
          <w:rFonts w:cs="Abz-2 (Badr)" w:hint="cs"/>
          <w:color w:val="000000" w:themeColor="text1"/>
          <w:sz w:val="28"/>
          <w:szCs w:val="28"/>
          <w:rtl/>
        </w:rPr>
        <w:softHyphen/>
        <w:t xml:space="preserve">گويد: </w:t>
      </w:r>
      <w:r>
        <w:rPr>
          <w:rFonts w:cs="Abz-2 (Badr)" w:hint="cs"/>
          <w:color w:val="0070C0"/>
          <w:sz w:val="28"/>
          <w:szCs w:val="28"/>
          <w:rtl/>
        </w:rPr>
        <w:t>«فإن دفع إليها ثمّ بان أنّه لم يكن بها حمل، فإن قلنا: تجب يوماً بيوم، فله أن يرجع عليها، لأنّه دفعها على أنّها واجبه وقد بان أنّها لم تجب، فثبت له الرجوع.</w:t>
      </w:r>
    </w:p>
    <w:p w14:paraId="5A39D4D9" w14:textId="77777777" w:rsidR="00FB24D5" w:rsidRDefault="00FB24D5" w:rsidP="00FB24D5">
      <w:pPr>
        <w:widowControl w:val="0"/>
        <w:bidi/>
        <w:spacing w:after="0"/>
        <w:ind w:firstLine="284"/>
        <w:jc w:val="both"/>
        <w:rPr>
          <w:rFonts w:cs="Abz-2 (Badr)" w:hint="cs"/>
          <w:color w:val="0070C0"/>
          <w:sz w:val="28"/>
          <w:szCs w:val="28"/>
          <w:rtl/>
        </w:rPr>
      </w:pPr>
      <w:r>
        <w:rPr>
          <w:rFonts w:cs="Abz-2 (Badr)" w:hint="cs"/>
          <w:color w:val="0070C0"/>
          <w:sz w:val="28"/>
          <w:szCs w:val="28"/>
          <w:rtl/>
        </w:rPr>
        <w:t>وان قلنا: إنّها لا تجب إلا بالوضع، فإن دفعها بأمر الحاكم، فله أن يرجع، لأنّه إذا أمره الحاكم لزمه الدفع، فثبت له الرجوع. وإن دفع من غير أمره، فإن شرط أنّ ذلك عن نفقتها إن كانت حاملاً، فله أن يرجع، لأنّه دفع عمّا يجب وقد بان أنّه لم يجب، وإن لم يشرط لم يرجع، لأنّ الظاهر أنّه متبرّع.»</w:t>
      </w:r>
      <w:r>
        <w:rPr>
          <w:rStyle w:val="FootnoteReference"/>
          <w:rFonts w:cs="Abz-2 (Badr)"/>
          <w:color w:val="000000" w:themeColor="text1"/>
          <w:sz w:val="28"/>
          <w:szCs w:val="28"/>
          <w:rtl/>
          <w:lang w:bidi="ar"/>
        </w:rPr>
        <w:footnoteReference w:id="5"/>
      </w:r>
    </w:p>
    <w:p w14:paraId="77A77DCB" w14:textId="77777777" w:rsidR="00FB24D5" w:rsidRDefault="00FB24D5" w:rsidP="00FB24D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اما آنچه که در فرض دوم گفته شده است، مربوط به مقام اثبات است و ارتباطی به بحث ثبوتی ندارد، و ظاهر آن اين است که جواز ثبوتی استرداد، مفروغ عنه است.</w:t>
      </w:r>
    </w:p>
    <w:p w14:paraId="6F91C356" w14:textId="77777777" w:rsidR="00FB24D5" w:rsidRDefault="00FB24D5" w:rsidP="00FB24D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نکته آخری که در اين فرع وجود دارد اين است که آيا وجوب دفع نفقه منوط بر اين است که زوجه کفيلی برای استرداد آن در صورت کشف خلاف داشته باشد؟</w:t>
      </w:r>
    </w:p>
    <w:p w14:paraId="45FFBE57" w14:textId="77777777" w:rsidR="00FB24D5" w:rsidRDefault="00FB24D5" w:rsidP="00FB24D5">
      <w:pPr>
        <w:widowControl w:val="0"/>
        <w:bidi/>
        <w:spacing w:after="0"/>
        <w:ind w:firstLine="284"/>
        <w:jc w:val="both"/>
        <w:rPr>
          <w:rFonts w:cs="Abz-2 (Badr)" w:hint="cs"/>
          <w:color w:val="0070C0"/>
          <w:sz w:val="28"/>
          <w:szCs w:val="28"/>
          <w:rtl/>
        </w:rPr>
      </w:pPr>
      <w:r>
        <w:rPr>
          <w:rFonts w:cs="Abz-2 (Badr)" w:hint="cs"/>
          <w:color w:val="000000" w:themeColor="text1"/>
          <w:sz w:val="28"/>
          <w:szCs w:val="28"/>
          <w:rtl/>
        </w:rPr>
        <w:t xml:space="preserve">شهيد ثانی فرموده است: </w:t>
      </w:r>
      <w:r>
        <w:rPr>
          <w:rFonts w:cs="Abz-2 (Badr)" w:hint="cs"/>
          <w:color w:val="0070C0"/>
          <w:sz w:val="28"/>
          <w:szCs w:val="28"/>
          <w:rtl/>
        </w:rPr>
        <w:t>«هل تطالب بكفيل لجواز ظهور خلاف ما ادّعته؟ فيه وجهان؛ منشؤهما أنّها استولت على مال الغير بسبب لم يثبت في نفس الأمر، وإنّما حكم به الشارع لتعذّر إثبات موجبها قطعاً، فلو أخّرت إلى الوضع لزم الإضرار بها كما قرّرناه، فيجمع بين الحقّين بالدفع إليها بكفيل، ومن حيث عدم ثبوت استحقاق الرجوع عليها الآن.</w:t>
      </w:r>
    </w:p>
    <w:p w14:paraId="7F35F26F" w14:textId="77777777" w:rsidR="00FB24D5" w:rsidRDefault="00FB24D5" w:rsidP="00FB24D5">
      <w:pPr>
        <w:widowControl w:val="0"/>
        <w:bidi/>
        <w:spacing w:after="0"/>
        <w:ind w:firstLine="284"/>
        <w:jc w:val="both"/>
        <w:rPr>
          <w:rFonts w:cs="Abz-2 (Badr)" w:hint="cs"/>
          <w:color w:val="0070C0"/>
          <w:sz w:val="28"/>
          <w:szCs w:val="28"/>
          <w:rtl/>
        </w:rPr>
      </w:pPr>
      <w:r>
        <w:rPr>
          <w:rFonts w:cs="Abz-2 (Badr)" w:hint="cs"/>
          <w:color w:val="0070C0"/>
          <w:sz w:val="28"/>
          <w:szCs w:val="28"/>
          <w:rtl/>
        </w:rPr>
        <w:lastRenderedPageBreak/>
        <w:t>والأوّل لا يخلو من قوّة.»</w:t>
      </w:r>
      <w:r>
        <w:rPr>
          <w:rStyle w:val="FootnoteReference"/>
          <w:rFonts w:cs="Abz-2 (Badr)"/>
          <w:color w:val="000000" w:themeColor="text1"/>
          <w:sz w:val="28"/>
          <w:szCs w:val="28"/>
          <w:rtl/>
          <w:lang w:bidi="ar"/>
        </w:rPr>
        <w:footnoteReference w:id="6"/>
      </w:r>
    </w:p>
    <w:p w14:paraId="53A27C91" w14:textId="77777777" w:rsidR="00FB24D5" w:rsidRDefault="00FB24D5" w:rsidP="00FB24D5">
      <w:pPr>
        <w:widowControl w:val="0"/>
        <w:bidi/>
        <w:spacing w:after="0"/>
        <w:ind w:firstLine="284"/>
        <w:jc w:val="both"/>
        <w:rPr>
          <w:rFonts w:cs="Abz-2 (Badr)" w:hint="cs"/>
          <w:color w:val="0070C0"/>
          <w:sz w:val="28"/>
          <w:szCs w:val="28"/>
          <w:rtl/>
        </w:rPr>
      </w:pPr>
      <w:r>
        <w:rPr>
          <w:rFonts w:cs="Abz-2 (Badr)" w:hint="cs"/>
          <w:color w:val="000000" w:themeColor="text1"/>
          <w:sz w:val="28"/>
          <w:szCs w:val="28"/>
          <w:rtl/>
        </w:rPr>
        <w:t>اما صاحب جواهر با اشکال بر آن می</w:t>
      </w:r>
      <w:r>
        <w:rPr>
          <w:rFonts w:cs="Abz-2 (Badr)" w:hint="cs"/>
          <w:color w:val="000000" w:themeColor="text1"/>
          <w:sz w:val="28"/>
          <w:szCs w:val="28"/>
          <w:rtl/>
        </w:rPr>
        <w:softHyphen/>
        <w:t xml:space="preserve">فرمايد: </w:t>
      </w:r>
      <w:r>
        <w:rPr>
          <w:rFonts w:cs="Abz-2 (Badr)" w:hint="cs"/>
          <w:color w:val="0070C0"/>
          <w:sz w:val="28"/>
          <w:szCs w:val="28"/>
          <w:rtl/>
        </w:rPr>
        <w:t>«فيه: أنّ ثانيهما أقوى بعد فرض وجوب الدفع، لإطلاق الأدلّة وأصل البراءة.»</w:t>
      </w:r>
      <w:r>
        <w:rPr>
          <w:rStyle w:val="FootnoteReference"/>
          <w:rFonts w:cs="Abz-2 (Badr)"/>
          <w:color w:val="000000" w:themeColor="text1"/>
          <w:sz w:val="28"/>
          <w:szCs w:val="28"/>
          <w:rtl/>
          <w:lang w:bidi="ar"/>
        </w:rPr>
        <w:footnoteReference w:id="7"/>
      </w:r>
    </w:p>
    <w:p w14:paraId="1B91A46A" w14:textId="77777777" w:rsidR="00FB24D5" w:rsidRDefault="00FB24D5" w:rsidP="00FB24D5">
      <w:pPr>
        <w:widowControl w:val="0"/>
        <w:bidi/>
        <w:spacing w:after="0"/>
        <w:ind w:firstLine="284"/>
        <w:jc w:val="both"/>
        <w:rPr>
          <w:rFonts w:cs="Abz-2 (Badr)" w:hint="cs"/>
          <w:color w:val="000000" w:themeColor="text1"/>
          <w:sz w:val="28"/>
          <w:szCs w:val="28"/>
          <w:rtl/>
        </w:rPr>
      </w:pPr>
      <w:r>
        <w:rPr>
          <w:rFonts w:cs="Abz-2 (Badr)" w:hint="cs"/>
          <w:color w:val="000000" w:themeColor="text1"/>
          <w:sz w:val="28"/>
          <w:szCs w:val="28"/>
          <w:rtl/>
        </w:rPr>
        <w:t>اما اشکال فرمايش صاحب جواهر اين است که موضوع نفقه در ادله حامل است، و هرچند در صورت اطمينان به وجود حمل، گفته می</w:t>
      </w:r>
      <w:r>
        <w:rPr>
          <w:rFonts w:cs="Abz-2 (Badr)" w:hint="cs"/>
          <w:color w:val="000000" w:themeColor="text1"/>
          <w:sz w:val="28"/>
          <w:szCs w:val="28"/>
          <w:rtl/>
        </w:rPr>
        <w:softHyphen/>
        <w:t>شود که موضوع محقق است، اما مراد از آن اين است که در تحقق موضوع، اطمينان کفايت می</w:t>
      </w:r>
      <w:r>
        <w:rPr>
          <w:rFonts w:cs="Abz-2 (Badr)" w:hint="cs"/>
          <w:color w:val="000000" w:themeColor="text1"/>
          <w:sz w:val="28"/>
          <w:szCs w:val="28"/>
          <w:rtl/>
        </w:rPr>
        <w:softHyphen/>
        <w:t>کند، همان گونه که اقامه بينه نيز برای احراز آن کافی است، نه اين که به مجرد اطمينان، موضوع در واقع محقق می</w:t>
      </w:r>
      <w:r>
        <w:rPr>
          <w:rFonts w:cs="Abz-2 (Badr)" w:hint="cs"/>
          <w:color w:val="000000" w:themeColor="text1"/>
          <w:sz w:val="28"/>
          <w:szCs w:val="28"/>
          <w:rtl/>
        </w:rPr>
        <w:softHyphen/>
        <w:t>گردد.</w:t>
      </w:r>
    </w:p>
    <w:p w14:paraId="3D5D32E7" w14:textId="77777777" w:rsidR="00FB24D5" w:rsidRDefault="00FB24D5" w:rsidP="00FB24D5">
      <w:pPr>
        <w:widowControl w:val="0"/>
        <w:bidi/>
        <w:spacing w:after="0"/>
        <w:ind w:firstLine="284"/>
        <w:jc w:val="both"/>
        <w:rPr>
          <w:rFonts w:cs="Abz-2 (Badr)" w:hint="cs"/>
          <w:color w:val="000000" w:themeColor="text1"/>
          <w:sz w:val="28"/>
          <w:szCs w:val="28"/>
          <w:rtl/>
          <w:lang w:bidi="ar"/>
        </w:rPr>
      </w:pPr>
      <w:r>
        <w:rPr>
          <w:rFonts w:cs="Abz-2 (Badr)" w:hint="cs"/>
          <w:color w:val="000000" w:themeColor="text1"/>
          <w:sz w:val="28"/>
          <w:szCs w:val="28"/>
          <w:rtl/>
        </w:rPr>
        <w:t>بنابر اين چه بسا بتوان ادعا کرد: از آنجا که کفايت اطمينان نوعی در تحقق موضوع، امری است که مبتنی بر سيره عقلائيه است و عقلاء در امور مالی اقدام به اخذ کفيل و امثال آن می</w:t>
      </w:r>
      <w:r>
        <w:rPr>
          <w:rFonts w:cs="Abz-2 (Badr)" w:hint="cs"/>
          <w:color w:val="000000" w:themeColor="text1"/>
          <w:sz w:val="28"/>
          <w:szCs w:val="28"/>
          <w:rtl/>
        </w:rPr>
        <w:softHyphen/>
        <w:t>کنند، در فرض مسأله نيز بدون اخذ کفيل، وجوب دفع نفقه متوجه زوج نمی</w:t>
      </w:r>
      <w:r>
        <w:rPr>
          <w:rFonts w:cs="Abz-2 (Badr)" w:hint="cs"/>
          <w:color w:val="000000" w:themeColor="text1"/>
          <w:sz w:val="28"/>
          <w:szCs w:val="28"/>
          <w:rtl/>
        </w:rPr>
        <w:softHyphen/>
        <w:t>شود.</w:t>
      </w:r>
      <w:bookmarkEnd w:id="2"/>
      <w:bookmarkEnd w:id="3"/>
    </w:p>
    <w:p w14:paraId="2AD04477" w14:textId="7D63A4A4" w:rsidR="00B706A3" w:rsidRPr="00FB24D5" w:rsidRDefault="00B706A3" w:rsidP="00FB24D5">
      <w:pPr>
        <w:rPr>
          <w:rtl/>
        </w:rPr>
      </w:pPr>
    </w:p>
    <w:sectPr w:rsidR="00B706A3" w:rsidRPr="00FB24D5" w:rsidSect="005815B4">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12CB6" w14:textId="77777777" w:rsidR="0055768A" w:rsidRDefault="0055768A" w:rsidP="00F71127">
      <w:pPr>
        <w:spacing w:after="0" w:line="240" w:lineRule="auto"/>
      </w:pPr>
      <w:r>
        <w:separator/>
      </w:r>
    </w:p>
  </w:endnote>
  <w:endnote w:type="continuationSeparator" w:id="0">
    <w:p w14:paraId="7A943492" w14:textId="77777777" w:rsidR="0055768A" w:rsidRDefault="0055768A"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altName w:val="Arial"/>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06F8A" w14:textId="77777777" w:rsidR="00FB24D5" w:rsidRDefault="00FB24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C8A2" w14:textId="77777777" w:rsidR="00FB24D5" w:rsidRDefault="00FB24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5E78B" w14:textId="77777777" w:rsidR="0055768A" w:rsidRDefault="0055768A" w:rsidP="00EE25C0">
      <w:pPr>
        <w:bidi/>
        <w:spacing w:after="0" w:line="240" w:lineRule="auto"/>
      </w:pPr>
      <w:r>
        <w:separator/>
      </w:r>
    </w:p>
  </w:footnote>
  <w:footnote w:type="continuationSeparator" w:id="0">
    <w:p w14:paraId="61F9C85C" w14:textId="77777777" w:rsidR="0055768A" w:rsidRDefault="0055768A" w:rsidP="00F71127">
      <w:pPr>
        <w:bidi/>
        <w:spacing w:after="0" w:line="240" w:lineRule="auto"/>
      </w:pPr>
      <w:r>
        <w:continuationSeparator/>
      </w:r>
    </w:p>
  </w:footnote>
  <w:footnote w:id="1">
    <w:p w14:paraId="3B768AD4"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،ج31،ص358.</w:t>
      </w:r>
    </w:p>
  </w:footnote>
  <w:footnote w:id="2">
    <w:p w14:paraId="4DB8C8B9"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همان</w:t>
      </w:r>
      <w:r>
        <w:rPr>
          <w:rFonts w:cs="Abz-2 (Badr)" w:hint="cs"/>
          <w:rtl/>
          <w:lang w:bidi="fa-IR"/>
        </w:rPr>
        <w:t>،ص319.</w:t>
      </w:r>
    </w:p>
  </w:footnote>
  <w:footnote w:id="3">
    <w:p w14:paraId="44F935A7"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رياض المسائل</w:t>
      </w:r>
      <w:r>
        <w:rPr>
          <w:rFonts w:cs="Abz-2 (Badr)" w:hint="cs"/>
          <w:rtl/>
          <w:lang w:bidi="fa-IR"/>
        </w:rPr>
        <w:t>،ج12،ص172.</w:t>
      </w:r>
    </w:p>
  </w:footnote>
  <w:footnote w:id="4">
    <w:p w14:paraId="278C1658"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کشف اللثام</w:t>
      </w:r>
      <w:r>
        <w:rPr>
          <w:rFonts w:cs="Abz-2 (Badr)" w:hint="cs"/>
          <w:rtl/>
          <w:lang w:bidi="fa-IR"/>
        </w:rPr>
        <w:t>،ج7،ص582.</w:t>
      </w:r>
    </w:p>
  </w:footnote>
  <w:footnote w:id="5">
    <w:p w14:paraId="4441FD2B"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المجموع</w:t>
      </w:r>
      <w:r>
        <w:rPr>
          <w:rFonts w:cs="Abz-2 (Badr)" w:hint="cs"/>
          <w:rtl/>
          <w:lang w:bidi="fa-IR"/>
        </w:rPr>
        <w:t>،ج18،ص277.</w:t>
      </w:r>
    </w:p>
  </w:footnote>
  <w:footnote w:id="6">
    <w:p w14:paraId="329A343D"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 xml:space="preserve">ـ مسالك </w:t>
      </w:r>
      <w:r>
        <w:rPr>
          <w:rFonts w:cs="Abz-2 (Badr)" w:hint="cs"/>
          <w:rtl/>
          <w:lang w:bidi="fa-IR"/>
        </w:rPr>
        <w:t>الأفهام،ج8،ص474.</w:t>
      </w:r>
    </w:p>
  </w:footnote>
  <w:footnote w:id="7">
    <w:p w14:paraId="60D2C4ED" w14:textId="77777777" w:rsidR="00FB24D5" w:rsidRDefault="00FB24D5" w:rsidP="00FB24D5">
      <w:pPr>
        <w:pStyle w:val="FootnoteText"/>
        <w:bidi/>
        <w:jc w:val="both"/>
        <w:rPr>
          <w:rFonts w:cs="Abz-2 (Badr)" w:hint="cs"/>
          <w:rtl/>
          <w:lang w:bidi="fa-IR"/>
        </w:rPr>
      </w:pPr>
      <w:r>
        <w:rPr>
          <w:rStyle w:val="FootnoteReference"/>
          <w:rFonts w:cs="Abz-2 (Badr)"/>
        </w:rPr>
        <w:footnoteRef/>
      </w:r>
      <w:r>
        <w:rPr>
          <w:rFonts w:cs="Abz-2 (Badr)"/>
        </w:rPr>
        <w:t xml:space="preserve"> </w:t>
      </w:r>
      <w:r>
        <w:rPr>
          <w:rFonts w:cs="Abz-2 (Badr)" w:hint="cs"/>
          <w:rtl/>
        </w:rPr>
        <w:t>ـ جواهر الکلام</w:t>
      </w:r>
      <w:r>
        <w:rPr>
          <w:rFonts w:cs="Abz-2 (Badr)" w:hint="cs"/>
          <w:rtl/>
          <w:lang w:bidi="fa-IR"/>
        </w:rPr>
        <w:t>،ج31،ص359.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C320" w14:textId="77777777" w:rsidR="00FB24D5" w:rsidRDefault="00FB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9B272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FB24D5">
                            <w:rPr>
                              <w:rFonts w:cs="B Mehr" w:hint="cs"/>
                              <w:rtl/>
                              <w:lang w:bidi="fa-IR"/>
                            </w:rPr>
                            <w:t>یک</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FB24D5">
                            <w:rPr>
                              <w:rFonts w:cs="B Mehr" w:hint="cs"/>
                              <w:rtl/>
                            </w:rPr>
                            <w:t>5</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9B272B"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684434">
                      <w:rPr>
                        <w:rFonts w:cs="B Mehr" w:hint="cs"/>
                        <w:rtl/>
                        <w:lang w:bidi="fa-IR"/>
                      </w:rPr>
                      <w:t xml:space="preserve"> </w:t>
                    </w:r>
                    <w:r w:rsidR="00FB24D5">
                      <w:rPr>
                        <w:rFonts w:cs="B Mehr" w:hint="cs"/>
                        <w:rtl/>
                        <w:lang w:bidi="fa-IR"/>
                      </w:rPr>
                      <w:t>یک</w:t>
                    </w:r>
                    <w:r w:rsidR="00C73276">
                      <w:rPr>
                        <w:rFonts w:cs="B Mehr" w:hint="cs"/>
                        <w:rtl/>
                        <w:lang w:bidi="fa-IR"/>
                      </w:rPr>
                      <w:t xml:space="preserve">شنبه </w:t>
                    </w:r>
                    <w:r>
                      <w:rPr>
                        <w:rFonts w:cs="B Mehr" w:hint="cs"/>
                        <w:lang w:bidi="fa-IR"/>
                      </w:rPr>
                      <w:t xml:space="preserve"> </w:t>
                    </w:r>
                    <w:r>
                      <w:rPr>
                        <w:rFonts w:cs="B Mehr" w:hint="cs"/>
                        <w:rtl/>
                        <w:lang w:bidi="fa-IR"/>
                      </w:rPr>
                      <w:t xml:space="preserve"> </w:t>
                    </w:r>
                    <w:r>
                      <w:rPr>
                        <w:rFonts w:cs="B Mehr" w:hint="cs"/>
                        <w:rtl/>
                      </w:rPr>
                      <w:t xml:space="preserve">،    </w:t>
                    </w:r>
                    <w:r w:rsidR="00FB24D5">
                      <w:rPr>
                        <w:rFonts w:cs="B Mehr" w:hint="cs"/>
                        <w:rtl/>
                      </w:rPr>
                      <w:t>5</w:t>
                    </w:r>
                    <w:r w:rsidR="00C73276">
                      <w:rPr>
                        <w:rFonts w:cs="B Mehr" w:hint="cs"/>
                        <w:rtl/>
                        <w:lang w:bidi="fa-IR"/>
                      </w:rPr>
                      <w:t xml:space="preserve"> بهمن</w:t>
                    </w:r>
                    <w:r w:rsidR="00860A62">
                      <w:rPr>
                        <w:rFonts w:cs="B Mehr" w:hint="cs"/>
                        <w:rtl/>
                        <w:lang w:bidi="fa-IR"/>
                      </w:rPr>
                      <w:t xml:space="preserve"> </w:t>
                    </w:r>
                    <w:r>
                      <w:rPr>
                        <w:rFonts w:cs="B Mehr" w:hint="cs"/>
                        <w:rtl/>
                      </w:rPr>
                      <w:t xml:space="preserve"> ماه  - 1404ه.ش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3C746" w14:textId="77777777" w:rsidR="00FB24D5" w:rsidRDefault="00FB24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EFD"/>
    <w:rsid w:val="002F68B2"/>
    <w:rsid w:val="002F77A0"/>
    <w:rsid w:val="003000EA"/>
    <w:rsid w:val="003008CA"/>
    <w:rsid w:val="003014A6"/>
    <w:rsid w:val="00301DEE"/>
    <w:rsid w:val="0030209B"/>
    <w:rsid w:val="00302BC6"/>
    <w:rsid w:val="003031E0"/>
    <w:rsid w:val="0030349F"/>
    <w:rsid w:val="00303843"/>
    <w:rsid w:val="00303B1E"/>
    <w:rsid w:val="003043E1"/>
    <w:rsid w:val="00305CA4"/>
    <w:rsid w:val="003060A2"/>
    <w:rsid w:val="00306BE3"/>
    <w:rsid w:val="00306D9E"/>
    <w:rsid w:val="00306DD3"/>
    <w:rsid w:val="00306FE4"/>
    <w:rsid w:val="003071D5"/>
    <w:rsid w:val="003075E0"/>
    <w:rsid w:val="003077B0"/>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21736</TotalTime>
  <Pages>4</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720</cp:revision>
  <cp:lastPrinted>2025-04-14T09:12:00Z</cp:lastPrinted>
  <dcterms:created xsi:type="dcterms:W3CDTF">2022-10-16T08:36:00Z</dcterms:created>
  <dcterms:modified xsi:type="dcterms:W3CDTF">2026-01-27T18:16:00Z</dcterms:modified>
</cp:coreProperties>
</file>