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5292" w14:textId="77777777" w:rsidR="009667A0" w:rsidRDefault="009667A0" w:rsidP="009667A0">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AE37FB5" w14:textId="77777777" w:rsidR="009667A0" w:rsidRDefault="009667A0" w:rsidP="009667A0">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34A72656" w14:textId="77777777" w:rsidR="009667A0" w:rsidRDefault="009667A0" w:rsidP="009667A0">
      <w:pPr>
        <w:widowControl w:val="0"/>
        <w:bidi/>
        <w:spacing w:after="0"/>
        <w:jc w:val="center"/>
        <w:rPr>
          <w:rFonts w:cs="B Mitra" w:hint="cs"/>
          <w:b/>
          <w:bCs/>
          <w:sz w:val="32"/>
          <w:szCs w:val="32"/>
          <w:rtl/>
          <w:lang w:bidi="fa-IR"/>
        </w:rPr>
      </w:pPr>
      <w:r>
        <w:rPr>
          <w:rFonts w:cs="B Mitra" w:hint="cs"/>
          <w:b/>
          <w:bCs/>
          <w:sz w:val="32"/>
          <w:szCs w:val="32"/>
          <w:rtl/>
          <w:lang w:bidi="fa-IR"/>
        </w:rPr>
        <w:t>جلسه 902</w:t>
      </w:r>
    </w:p>
    <w:p w14:paraId="0B767428" w14:textId="77777777" w:rsidR="009667A0" w:rsidRDefault="009667A0" w:rsidP="009667A0">
      <w:pPr>
        <w:widowControl w:val="0"/>
        <w:bidi/>
        <w:spacing w:after="0"/>
        <w:ind w:firstLine="284"/>
        <w:jc w:val="both"/>
        <w:rPr>
          <w:rFonts w:cs="Abz-2 (Badr)" w:hint="cs"/>
          <w:color w:val="000000" w:themeColor="text1"/>
          <w:sz w:val="28"/>
          <w:szCs w:val="28"/>
          <w:rtl/>
          <w:lang w:bidi="fa-IR"/>
        </w:rPr>
      </w:pPr>
      <w:bookmarkStart w:id="0" w:name="_Hlk159096966"/>
    </w:p>
    <w:p w14:paraId="5A52DDE0"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bookmarkStart w:id="1" w:name="_Hlk219024523"/>
      <w:bookmarkStart w:id="2" w:name="_Hlk217813422"/>
      <w:bookmarkStart w:id="3" w:name="_Hlk217856631"/>
      <w:bookmarkEnd w:id="0"/>
      <w:r>
        <w:rPr>
          <w:rFonts w:cs="Abz-2 (Badr)" w:hint="cs"/>
          <w:color w:val="C45911" w:themeColor="accent2" w:themeShade="BF"/>
          <w:spacing w:val="-2"/>
          <w:sz w:val="28"/>
          <w:szCs w:val="28"/>
          <w:rtl/>
          <w:lang w:bidi="fa-IR"/>
        </w:rPr>
        <w:t xml:space="preserve">فرض دوم: </w:t>
      </w:r>
      <w:r>
        <w:rPr>
          <w:rFonts w:cs="Abz-2 (Badr)" w:hint="cs"/>
          <w:color w:val="000000" w:themeColor="text1"/>
          <w:spacing w:val="-2"/>
          <w:sz w:val="28"/>
          <w:szCs w:val="28"/>
          <w:rtl/>
          <w:lang w:bidi="fa-IR"/>
        </w:rPr>
        <w:t>چنانچه زوج به زوجه دخول نکرده باشد و زوجه نيز از زوج مطالبه نفقه نکند و مدتی به اين منوال بگذرد، آيا زوجه حق خواهد داشت که بعداً نفقه آن مدت را از زوج مطالبه نمايد؟</w:t>
      </w:r>
    </w:p>
    <w:p w14:paraId="3816AED2"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در کلمات محقق گذشت که زوجه چنين حقی ندارد، زيرا شرط نفقه تمکين است و در فرض عدم دخول اطمينانی به اين وجود ندارد که اگر زوج اراده استمتاع از زوجه می</w:t>
      </w:r>
      <w:r>
        <w:rPr>
          <w:rFonts w:cs="Abz-2 (Badr)" w:hint="cs"/>
          <w:color w:val="000000" w:themeColor="text1"/>
          <w:spacing w:val="-2"/>
          <w:sz w:val="28"/>
          <w:szCs w:val="28"/>
          <w:rtl/>
          <w:lang w:bidi="fa-IR"/>
        </w:rPr>
        <w:softHyphen/>
        <w:t>داشت، زوجه از وی تميکن می</w:t>
      </w:r>
      <w:r>
        <w:rPr>
          <w:rFonts w:cs="Abz-2 (Badr)" w:hint="cs"/>
          <w:color w:val="000000" w:themeColor="text1"/>
          <w:spacing w:val="-2"/>
          <w:sz w:val="28"/>
          <w:szCs w:val="28"/>
          <w:rtl/>
          <w:lang w:bidi="fa-IR"/>
        </w:rPr>
        <w:softHyphen/>
        <w:t>کرد.</w:t>
      </w:r>
    </w:p>
    <w:p w14:paraId="593D7CF6" w14:textId="77777777" w:rsidR="009667A0" w:rsidRDefault="009667A0" w:rsidP="009667A0">
      <w:pPr>
        <w:widowControl w:val="0"/>
        <w:bidi/>
        <w:spacing w:after="0"/>
        <w:ind w:firstLine="284"/>
        <w:jc w:val="both"/>
        <w:rPr>
          <w:rFonts w:cs="Abz-2 (Badr)" w:hint="cs"/>
          <w:color w:val="0070C0"/>
          <w:spacing w:val="-2"/>
          <w:sz w:val="28"/>
          <w:szCs w:val="28"/>
          <w:rtl/>
          <w:lang w:bidi="fa-IR"/>
        </w:rPr>
      </w:pPr>
      <w:r>
        <w:rPr>
          <w:rFonts w:cs="Abz-2 (Badr)" w:hint="cs"/>
          <w:color w:val="000000" w:themeColor="text1"/>
          <w:spacing w:val="-2"/>
          <w:sz w:val="28"/>
          <w:szCs w:val="28"/>
          <w:rtl/>
          <w:lang w:bidi="fa-IR"/>
        </w:rPr>
        <w:t xml:space="preserve">اما شيخ در مبسوط علت عدم وجوب نفقه را عدم تمکين فعلی دانسته و فرموده است: </w:t>
      </w:r>
      <w:r>
        <w:rPr>
          <w:rFonts w:cs="Abz-2 (Badr)" w:hint="cs"/>
          <w:color w:val="0070C0"/>
          <w:spacing w:val="-2"/>
          <w:sz w:val="28"/>
          <w:szCs w:val="28"/>
          <w:rtl/>
          <w:lang w:bidi="fa-IR"/>
        </w:rPr>
        <w:t>«</w:t>
      </w:r>
      <w:r>
        <w:rPr>
          <w:rFonts w:cs="Abz-2 (Badr)" w:hint="cs"/>
          <w:color w:val="0070C0"/>
          <w:spacing w:val="-2"/>
          <w:sz w:val="28"/>
          <w:szCs w:val="28"/>
          <w:rtl/>
          <w:lang w:bidi="ar"/>
        </w:rPr>
        <w:t>إنّ النفقة لا تجب ولو بقيا سنين على هذه الصورة، سواء كان كلّ واحدة منهما على صفة متى طولب بما يجب من جهته بادر به أو لم يكن كذالك، لأنّ النفقة إنّما يجب بوجود التمكين لا بإمكان التمكين.»</w:t>
      </w:r>
      <w:r>
        <w:rPr>
          <w:rStyle w:val="FootnoteReference"/>
          <w:rFonts w:cs="Abz-2 (Badr)"/>
          <w:color w:val="000000" w:themeColor="text1"/>
          <w:spacing w:val="-2"/>
          <w:sz w:val="28"/>
          <w:szCs w:val="28"/>
          <w:rtl/>
          <w:lang w:bidi="ar"/>
        </w:rPr>
        <w:footnoteReference w:id="1"/>
      </w:r>
    </w:p>
    <w:p w14:paraId="26EFDEEE"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 xml:space="preserve">ولی علامه در قواعد تمکين فعلی يا علم به تحقق تمکين در صورت مطالبه استمتاع را برای وجوب نفقه کافی دانسته و فرموده است: </w:t>
      </w:r>
      <w:r>
        <w:rPr>
          <w:rFonts w:cs="Abz-2 (Badr)" w:hint="cs"/>
          <w:color w:val="0070C0"/>
          <w:spacing w:val="-2"/>
          <w:sz w:val="28"/>
          <w:szCs w:val="28"/>
          <w:rtl/>
          <w:lang w:bidi="fa-IR"/>
        </w:rPr>
        <w:t>«</w:t>
      </w:r>
      <w:r>
        <w:rPr>
          <w:rFonts w:cs="Abz-2 (Badr)" w:hint="cs"/>
          <w:color w:val="0070C0"/>
          <w:spacing w:val="-2"/>
          <w:sz w:val="28"/>
          <w:szCs w:val="28"/>
          <w:rtl/>
          <w:lang w:bidi="ar"/>
        </w:rPr>
        <w:t>لو لم يدخل ومضت مدّة، استحقّت النفقة فيها على الأوّل إن كانت ساكنة، إذ لا نشوز، دون الثاني، إذ لا تمكين ولا وثوق بحصوله لو طلبه.»</w:t>
      </w:r>
      <w:r>
        <w:rPr>
          <w:rStyle w:val="FootnoteReference"/>
          <w:rFonts w:cs="Abz-2 (Badr)"/>
          <w:color w:val="000000" w:themeColor="text1"/>
          <w:spacing w:val="-2"/>
          <w:sz w:val="28"/>
          <w:szCs w:val="28"/>
          <w:rtl/>
          <w:lang w:bidi="ar"/>
        </w:rPr>
        <w:footnoteReference w:id="2"/>
      </w:r>
    </w:p>
    <w:p w14:paraId="5B482A13" w14:textId="77777777" w:rsidR="009667A0" w:rsidRDefault="009667A0" w:rsidP="009667A0">
      <w:pPr>
        <w:widowControl w:val="0"/>
        <w:bidi/>
        <w:spacing w:after="0"/>
        <w:ind w:firstLine="284"/>
        <w:jc w:val="both"/>
        <w:rPr>
          <w:rFonts w:cs="Abz-2 (Badr)" w:hint="cs"/>
          <w:color w:val="0070C0"/>
          <w:spacing w:val="-2"/>
          <w:sz w:val="28"/>
          <w:szCs w:val="28"/>
          <w:rtl/>
          <w:lang w:bidi="ar"/>
        </w:rPr>
      </w:pPr>
      <w:r>
        <w:rPr>
          <w:rFonts w:cs="Abz-2 (Badr)" w:hint="cs"/>
          <w:color w:val="000000" w:themeColor="text1"/>
          <w:spacing w:val="-2"/>
          <w:sz w:val="28"/>
          <w:szCs w:val="28"/>
          <w:rtl/>
          <w:lang w:bidi="fa-IR"/>
        </w:rPr>
        <w:t>شهيد ثانی نيز در توضيح اين مسأله می</w:t>
      </w:r>
      <w:r>
        <w:rPr>
          <w:rFonts w:cs="Abz-2 (Badr)" w:hint="cs"/>
          <w:color w:val="000000" w:themeColor="text1"/>
          <w:spacing w:val="-2"/>
          <w:sz w:val="28"/>
          <w:szCs w:val="28"/>
          <w:rtl/>
          <w:lang w:bidi="fa-IR"/>
        </w:rPr>
        <w:softHyphen/>
        <w:t xml:space="preserve">فرمايد: </w:t>
      </w:r>
      <w:r>
        <w:rPr>
          <w:rFonts w:cs="Abz-2 (Badr)" w:hint="cs"/>
          <w:color w:val="0070C0"/>
          <w:spacing w:val="-2"/>
          <w:sz w:val="28"/>
          <w:szCs w:val="28"/>
          <w:rtl/>
          <w:lang w:bidi="fa-IR"/>
        </w:rPr>
        <w:t>«</w:t>
      </w:r>
      <w:r>
        <w:rPr>
          <w:rFonts w:cs="Abz-2 (Badr)" w:hint="cs"/>
          <w:color w:val="0070C0"/>
          <w:spacing w:val="-2"/>
          <w:sz w:val="28"/>
          <w:szCs w:val="28"/>
          <w:rtl/>
          <w:lang w:bidi="ar"/>
        </w:rPr>
        <w:t>إذا تزوّجها ولم يطالبها بالزفاف ولم تمتنع هي منه ولا عرضت نفسها عليه ومضت على ذلك مدّة، ففي وجوب نفقتها تلك المدّة قولان مبنيّان على أنّ النفقة تجب بالعقد بشرط عدم النشوز، أو به مع التمكين؛ فعلى الأوّل تجب، لوجود الموجب وعدم المسقط وهو النشوز.</w:t>
      </w:r>
    </w:p>
    <w:p w14:paraId="7A82FE07" w14:textId="77777777" w:rsidR="009667A0" w:rsidRDefault="009667A0" w:rsidP="009667A0">
      <w:pPr>
        <w:widowControl w:val="0"/>
        <w:bidi/>
        <w:spacing w:after="0"/>
        <w:ind w:firstLine="284"/>
        <w:jc w:val="both"/>
        <w:rPr>
          <w:rFonts w:cs="Abz-2 (Badr)" w:hint="cs"/>
          <w:color w:val="0070C0"/>
          <w:spacing w:val="-2"/>
          <w:sz w:val="28"/>
          <w:szCs w:val="28"/>
          <w:rtl/>
          <w:lang w:bidi="fa-IR"/>
        </w:rPr>
      </w:pPr>
      <w:r>
        <w:rPr>
          <w:rFonts w:cs="Abz-2 (Badr)" w:hint="cs"/>
          <w:color w:val="0070C0"/>
          <w:spacing w:val="-2"/>
          <w:sz w:val="28"/>
          <w:szCs w:val="28"/>
          <w:rtl/>
          <w:lang w:bidi="ar"/>
        </w:rPr>
        <w:lastRenderedPageBreak/>
        <w:t>وعلى الثاني لا تجب، إذ لا تمكين، لأنّ المراد منه ـ على ما فسّره معتبره ـ أن تقول له باللفظ: سلّمت نفسي إليك في أيّ‌ وقت شئت ومكان ونحو ذلك، ولا يكفي السكوت وإن وثق ببذلها التمكين عادة على تقدير طلبه منها.</w:t>
      </w:r>
    </w:p>
    <w:p w14:paraId="0E585EAA" w14:textId="77777777" w:rsidR="009667A0" w:rsidRDefault="009667A0" w:rsidP="009667A0">
      <w:pPr>
        <w:widowControl w:val="0"/>
        <w:bidi/>
        <w:spacing w:after="0"/>
        <w:ind w:firstLine="284"/>
        <w:jc w:val="both"/>
        <w:rPr>
          <w:rFonts w:cs="Abz-2 (Badr)"/>
          <w:color w:val="0070C0"/>
          <w:spacing w:val="-2"/>
          <w:sz w:val="28"/>
          <w:szCs w:val="28"/>
          <w:lang w:bidi="ar"/>
        </w:rPr>
      </w:pPr>
      <w:r>
        <w:rPr>
          <w:rFonts w:cs="Abz-2 (Badr)" w:hint="cs"/>
          <w:color w:val="0070C0"/>
          <w:spacing w:val="-2"/>
          <w:sz w:val="28"/>
          <w:szCs w:val="28"/>
          <w:rtl/>
          <w:lang w:bidi="ar"/>
        </w:rPr>
        <w:t>وتعليل المصنّف بعدم الوثوق بحصول التمكين يريد به ذلك، لكنّ العبارة عنه غير جيّدة، بل الأولى التعليل بعدم التمكين بالفعل كما ذكرناه، سواء حصل وثوق به أم لا...</w:t>
      </w:r>
    </w:p>
    <w:p w14:paraId="6F3446A5" w14:textId="77777777" w:rsidR="009667A0" w:rsidRDefault="009667A0" w:rsidP="009667A0">
      <w:pPr>
        <w:widowControl w:val="0"/>
        <w:bidi/>
        <w:spacing w:after="0"/>
        <w:ind w:firstLine="284"/>
        <w:jc w:val="both"/>
        <w:rPr>
          <w:rFonts w:cs="Abz-2 (Badr)" w:hint="cs"/>
          <w:color w:val="0070C0"/>
          <w:spacing w:val="-2"/>
          <w:sz w:val="28"/>
          <w:szCs w:val="28"/>
          <w:rtl/>
          <w:lang w:bidi="ar"/>
        </w:rPr>
      </w:pPr>
      <w:r>
        <w:rPr>
          <w:rFonts w:cs="Abz-2 (Badr)" w:hint="cs"/>
          <w:color w:val="0070C0"/>
          <w:spacing w:val="-2"/>
          <w:sz w:val="28"/>
          <w:szCs w:val="28"/>
          <w:rtl/>
          <w:lang w:bidi="ar"/>
        </w:rPr>
        <w:t>وفي القواعد جمع بين العلّتين، وكان يستغني بإحداهما وهو عدم التمكين، وإن تكلّف متكلّف للجمع بينهما فائدة ما.»</w:t>
      </w:r>
      <w:r>
        <w:rPr>
          <w:rStyle w:val="FootnoteReference"/>
          <w:rFonts w:cs="Abz-2 (Badr)"/>
          <w:color w:val="000000" w:themeColor="text1"/>
          <w:spacing w:val="-2"/>
          <w:sz w:val="28"/>
          <w:szCs w:val="28"/>
          <w:rtl/>
          <w:lang w:bidi="ar"/>
        </w:rPr>
        <w:footnoteReference w:id="3"/>
      </w:r>
    </w:p>
    <w:p w14:paraId="43870C32"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ar"/>
        </w:rPr>
        <w:t>اما کاشف اللثام شرط اول علامه را مربوط به موردی می</w:t>
      </w:r>
      <w:r>
        <w:rPr>
          <w:rFonts w:cs="Abz-2 (Badr)" w:hint="cs"/>
          <w:color w:val="000000" w:themeColor="text1"/>
          <w:spacing w:val="-2"/>
          <w:sz w:val="28"/>
          <w:szCs w:val="28"/>
          <w:rtl/>
          <w:lang w:bidi="ar"/>
        </w:rPr>
        <w:softHyphen/>
        <w:t>داند که دخولی محقق نشده است، و فرض دوم را مربوط به موردی که يک بار دخول محقق شده است و می</w:t>
      </w:r>
      <w:r>
        <w:rPr>
          <w:rFonts w:cs="Abz-2 (Badr)" w:hint="cs"/>
          <w:color w:val="000000" w:themeColor="text1"/>
          <w:spacing w:val="-2"/>
          <w:sz w:val="28"/>
          <w:szCs w:val="28"/>
          <w:rtl/>
          <w:lang w:bidi="ar"/>
        </w:rPr>
        <w:softHyphen/>
        <w:t xml:space="preserve">فرمايد: </w:t>
      </w:r>
      <w:r>
        <w:rPr>
          <w:rFonts w:cs="Abz-2 (Badr)" w:hint="cs"/>
          <w:color w:val="0070C0"/>
          <w:spacing w:val="-2"/>
          <w:sz w:val="28"/>
          <w:szCs w:val="28"/>
          <w:rtl/>
          <w:lang w:bidi="ar"/>
        </w:rPr>
        <w:t>«فيه تنبيه على الاكتفاء بالتمكين مرّة مع الوثوق.»</w:t>
      </w:r>
      <w:r>
        <w:rPr>
          <w:rStyle w:val="FootnoteReference"/>
          <w:rFonts w:cs="Abz-2 (Badr)"/>
          <w:color w:val="000000" w:themeColor="text1"/>
          <w:spacing w:val="-2"/>
          <w:sz w:val="28"/>
          <w:szCs w:val="28"/>
          <w:rtl/>
          <w:lang w:bidi="ar"/>
        </w:rPr>
        <w:footnoteReference w:id="4"/>
      </w:r>
    </w:p>
    <w:p w14:paraId="2EEBB581" w14:textId="77777777" w:rsidR="009667A0" w:rsidRDefault="009667A0" w:rsidP="009667A0">
      <w:pPr>
        <w:widowControl w:val="0"/>
        <w:bidi/>
        <w:spacing w:after="0"/>
        <w:ind w:firstLine="284"/>
        <w:jc w:val="both"/>
        <w:rPr>
          <w:rFonts w:cs="Abz-2 (Badr)" w:hint="cs"/>
          <w:color w:val="0070C0"/>
          <w:spacing w:val="-2"/>
          <w:sz w:val="28"/>
          <w:szCs w:val="28"/>
          <w:rtl/>
          <w:lang w:bidi="fa-IR"/>
        </w:rPr>
      </w:pPr>
      <w:r>
        <w:rPr>
          <w:rFonts w:cs="Abz-2 (Badr)" w:hint="cs"/>
          <w:color w:val="000000" w:themeColor="text1"/>
          <w:spacing w:val="-2"/>
          <w:sz w:val="28"/>
          <w:szCs w:val="28"/>
          <w:rtl/>
          <w:lang w:bidi="fa-IR"/>
        </w:rPr>
        <w:t>اما صاحب جواهر با اشکال بر مدعای شهيد ثانی و در دفاع از مدعای محقق می</w:t>
      </w:r>
      <w:r>
        <w:rPr>
          <w:rFonts w:cs="Abz-2 (Badr)" w:hint="cs"/>
          <w:color w:val="000000" w:themeColor="text1"/>
          <w:spacing w:val="-2"/>
          <w:sz w:val="28"/>
          <w:szCs w:val="28"/>
          <w:rtl/>
          <w:lang w:bidi="fa-IR"/>
        </w:rPr>
        <w:softHyphen/>
        <w:t xml:space="preserve">فرمايد: </w:t>
      </w:r>
      <w:r>
        <w:rPr>
          <w:rFonts w:cs="Abz-2 (Badr)" w:hint="cs"/>
          <w:color w:val="0070C0"/>
          <w:spacing w:val="-2"/>
          <w:sz w:val="28"/>
          <w:szCs w:val="28"/>
          <w:rtl/>
          <w:lang w:bidi="fa-IR"/>
        </w:rPr>
        <w:t>«وفيه: منع اعتبار ذل</w:t>
      </w:r>
      <w:r>
        <w:rPr>
          <w:rFonts w:cs="Abz-2 (Badr)" w:hint="cs"/>
          <w:color w:val="0070C0"/>
          <w:spacing w:val="-2"/>
          <w:sz w:val="28"/>
          <w:szCs w:val="28"/>
          <w:rtl/>
        </w:rPr>
        <w:t>ك</w:t>
      </w:r>
      <w:r>
        <w:rPr>
          <w:rFonts w:cs="Abz-2 (Badr)" w:hint="cs"/>
          <w:color w:val="0070C0"/>
          <w:spacing w:val="-2"/>
          <w:sz w:val="28"/>
          <w:szCs w:val="28"/>
          <w:rtl/>
          <w:lang w:bidi="fa-IR"/>
        </w:rPr>
        <w:t xml:space="preserve"> في التمکين؛ ضرورة صدق حصوله عرفاً بالوثوق بحصوله منها لو طلبه في أيّ زمان أو مکان، سواء دلّت علی ذل</w:t>
      </w:r>
      <w:r>
        <w:rPr>
          <w:rFonts w:cs="Abz-2 (Badr)" w:hint="cs"/>
          <w:color w:val="0070C0"/>
          <w:spacing w:val="-2"/>
          <w:sz w:val="28"/>
          <w:szCs w:val="28"/>
          <w:rtl/>
        </w:rPr>
        <w:t>ك</w:t>
      </w:r>
      <w:r>
        <w:rPr>
          <w:rFonts w:cs="Abz-2 (Badr)" w:hint="cs"/>
          <w:color w:val="0070C0"/>
          <w:spacing w:val="-2"/>
          <w:sz w:val="28"/>
          <w:szCs w:val="28"/>
          <w:rtl/>
          <w:lang w:bidi="fa-IR"/>
        </w:rPr>
        <w:t xml:space="preserve"> بقول أو فعل أو علم من حالها ذل</w:t>
      </w:r>
      <w:r>
        <w:rPr>
          <w:rFonts w:cs="Abz-2 (Badr)" w:hint="cs"/>
          <w:color w:val="0070C0"/>
          <w:spacing w:val="-2"/>
          <w:sz w:val="28"/>
          <w:szCs w:val="28"/>
          <w:rtl/>
        </w:rPr>
        <w:t>ك</w:t>
      </w:r>
      <w:r>
        <w:rPr>
          <w:rFonts w:cs="Abz-2 (Badr)" w:hint="cs"/>
          <w:color w:val="0070C0"/>
          <w:spacing w:val="-2"/>
          <w:sz w:val="28"/>
          <w:szCs w:val="28"/>
          <w:rtl/>
          <w:lang w:bidi="fa-IR"/>
        </w:rPr>
        <w:t>، ولکنّ عدم النفقة في الفرض باعتبار عدم الوثوق بالحصول لو طلبه.</w:t>
      </w:r>
    </w:p>
    <w:p w14:paraId="239ED973" w14:textId="77777777" w:rsidR="009667A0" w:rsidRDefault="009667A0" w:rsidP="009667A0">
      <w:pPr>
        <w:widowControl w:val="0"/>
        <w:bidi/>
        <w:spacing w:after="0"/>
        <w:ind w:firstLine="284"/>
        <w:jc w:val="both"/>
        <w:rPr>
          <w:rFonts w:cs="Abz-2 (Badr)" w:hint="cs"/>
          <w:color w:val="0070C0"/>
          <w:spacing w:val="-2"/>
          <w:sz w:val="28"/>
          <w:szCs w:val="28"/>
          <w:rtl/>
          <w:lang w:bidi="fa-IR"/>
        </w:rPr>
      </w:pPr>
      <w:r>
        <w:rPr>
          <w:rFonts w:cs="Abz-2 (Badr)" w:hint="cs"/>
          <w:color w:val="0070C0"/>
          <w:spacing w:val="-2"/>
          <w:sz w:val="28"/>
          <w:szCs w:val="28"/>
          <w:rtl/>
          <w:lang w:bidi="fa-IR"/>
        </w:rPr>
        <w:t>وحينئذٍ فالصحيح ما في المتن، بل يمکن أن يکون قد قصد بذل</w:t>
      </w:r>
      <w:r>
        <w:rPr>
          <w:rFonts w:cs="Abz-2 (Badr)" w:hint="cs"/>
          <w:color w:val="0070C0"/>
          <w:spacing w:val="-2"/>
          <w:sz w:val="28"/>
          <w:szCs w:val="28"/>
          <w:rtl/>
        </w:rPr>
        <w:t>ك</w:t>
      </w:r>
      <w:r>
        <w:rPr>
          <w:rFonts w:cs="Abz-2 (Badr)" w:hint="cs"/>
          <w:color w:val="0070C0"/>
          <w:spacing w:val="-2"/>
          <w:sz w:val="28"/>
          <w:szCs w:val="28"/>
          <w:rtl/>
          <w:lang w:bidi="fa-IR"/>
        </w:rPr>
        <w:t xml:space="preserve"> التعريض بما سمعته من المبسوط.»</w:t>
      </w:r>
      <w:r>
        <w:rPr>
          <w:rStyle w:val="FootnoteReference"/>
          <w:rFonts w:cs="Abz-2 (Badr)"/>
          <w:color w:val="000000" w:themeColor="text1"/>
          <w:spacing w:val="-2"/>
          <w:sz w:val="28"/>
          <w:szCs w:val="28"/>
          <w:rtl/>
          <w:lang w:bidi="ar"/>
        </w:rPr>
        <w:footnoteReference w:id="5"/>
      </w:r>
    </w:p>
    <w:p w14:paraId="2008E479"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حق در مسأله اين است که از آنجا که نشوز مانع برای نفقه است نه اين که تمکين شرط برای آن باشد، وجهی برای اشکال در استحقاق زوجه برای نفقه وجود ندارد.</w:t>
      </w:r>
    </w:p>
    <w:p w14:paraId="1031CBAE"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ولی چنانچه قائل به شرطيت تمکين برای نفقه بشويم، در خصوص احراز شرط، حق با محقق و صاحب جواهر خواهد بود، زيرا در اين فرض آنچه که در استحقاق نفقه مدخليت خواهد داشت، آمادگی زوجه برای استمتاع زوج از وی است و اطمينان به وجود اين آمادگی در زوج، سبب احراز شرط خواهد بود و احراز آن صرفاً مبتنی بر تحقق دخول نيست.</w:t>
      </w:r>
    </w:p>
    <w:p w14:paraId="615F7DE4"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 xml:space="preserve">البته آنچه که محقق فرموده است مبنی بر اين که چون چنين وثوقی وجود ندارد، زوجه نيز استحقاق نفقه نخواهد داشت، </w:t>
      </w:r>
      <w:r>
        <w:rPr>
          <w:rFonts w:cs="Abz-2 (Badr)" w:hint="cs"/>
          <w:color w:val="000000" w:themeColor="text1"/>
          <w:spacing w:val="-2"/>
          <w:sz w:val="28"/>
          <w:szCs w:val="28"/>
          <w:rtl/>
          <w:lang w:bidi="fa-IR"/>
        </w:rPr>
        <w:lastRenderedPageBreak/>
        <w:t>خلط بين مقام ثبوت و اثبات است، بلکه بايد گفت: در مقام ثبوت چنانچه زوجه فی الواقع تمکين داشته باشد، استحقاق نفقه نيز دارد وگرنه مستحق آن نيست.</w:t>
      </w:r>
    </w:p>
    <w:p w14:paraId="276D9010"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اما اطمينان به وجود تمکين، مدخليت در مقام اثبات دارد، به اين معنا که تا وقتی که چنين اطمينانی ايجاد نشود، احراز شرط وجوب نفقه ممکن نبوده و در نتيجه زوج در ظاهر وظيفه</w:t>
      </w:r>
      <w:r>
        <w:rPr>
          <w:rFonts w:cs="Abz-2 (Badr)" w:hint="cs"/>
          <w:color w:val="000000" w:themeColor="text1"/>
          <w:spacing w:val="-2"/>
          <w:sz w:val="28"/>
          <w:szCs w:val="28"/>
          <w:rtl/>
          <w:lang w:bidi="fa-IR"/>
        </w:rPr>
        <w:softHyphen/>
        <w:t>ای نسبت به دادن نفقه نخواهد داشت، هرچند زوجه می</w:t>
      </w:r>
      <w:r>
        <w:rPr>
          <w:rFonts w:cs="Abz-2 (Badr)" w:hint="cs"/>
          <w:color w:val="000000" w:themeColor="text1"/>
          <w:spacing w:val="-2"/>
          <w:sz w:val="28"/>
          <w:szCs w:val="28"/>
          <w:rtl/>
          <w:lang w:bidi="fa-IR"/>
        </w:rPr>
        <w:softHyphen/>
        <w:t>تواند با ادعای اين که تمکين داشته است، به حاکم شرع مراجعه کرده و مطالبه نفقه خود را بنمايد که در اين صورت حاکم بر اساس قواعد دعوی بين آنان حکم خواهد کرد.</w:t>
      </w:r>
    </w:p>
    <w:p w14:paraId="313C6F6F"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اما مسأله</w:t>
      </w:r>
      <w:r>
        <w:rPr>
          <w:rFonts w:cs="Abz-2 (Badr)" w:hint="cs"/>
          <w:color w:val="000000" w:themeColor="text1"/>
          <w:spacing w:val="-2"/>
          <w:sz w:val="28"/>
          <w:szCs w:val="28"/>
          <w:rtl/>
          <w:lang w:bidi="fa-IR"/>
        </w:rPr>
        <w:softHyphen/>
        <w:t>ای که در زمان ما محل ابتلاست، اين است که در ايام واقع بين عقد و زفاف که ممکن است يک سال يا بعضاً بيشتر از آن به طول بکشد، آيا زوجه استحقاق نفقه را خواهد داشت يا خير؟</w:t>
      </w:r>
      <w:bookmarkEnd w:id="1"/>
    </w:p>
    <w:p w14:paraId="768BC2F2"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ان شاء الله جلسه آينده به بيان اين مسأله خواهيم پرداخت.</w:t>
      </w:r>
    </w:p>
    <w:bookmarkEnd w:id="2"/>
    <w:bookmarkEnd w:id="3"/>
    <w:p w14:paraId="6AC2C502" w14:textId="77777777" w:rsidR="009667A0" w:rsidRDefault="009667A0" w:rsidP="009667A0">
      <w:pPr>
        <w:widowControl w:val="0"/>
        <w:bidi/>
        <w:spacing w:after="0"/>
        <w:ind w:firstLine="284"/>
        <w:jc w:val="both"/>
        <w:rPr>
          <w:rFonts w:cs="Abz-2 (Badr)" w:hint="cs"/>
          <w:color w:val="000000" w:themeColor="text1"/>
          <w:spacing w:val="-2"/>
          <w:sz w:val="28"/>
          <w:szCs w:val="28"/>
          <w:rtl/>
          <w:lang w:bidi="fa-IR"/>
        </w:rPr>
      </w:pPr>
    </w:p>
    <w:p w14:paraId="2AD04477" w14:textId="7D63A4A4" w:rsidR="00B706A3" w:rsidRPr="009667A0" w:rsidRDefault="00B706A3" w:rsidP="009667A0">
      <w:pPr>
        <w:rPr>
          <w:rtl/>
        </w:rPr>
      </w:pPr>
    </w:p>
    <w:sectPr w:rsidR="00B706A3" w:rsidRPr="009667A0"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80D79" w14:textId="77777777" w:rsidR="00821F9B" w:rsidRDefault="00821F9B" w:rsidP="00F71127">
      <w:pPr>
        <w:spacing w:after="0" w:line="240" w:lineRule="auto"/>
      </w:pPr>
      <w:r>
        <w:separator/>
      </w:r>
    </w:p>
  </w:endnote>
  <w:endnote w:type="continuationSeparator" w:id="0">
    <w:p w14:paraId="6D8C5B1B" w14:textId="77777777" w:rsidR="00821F9B" w:rsidRDefault="00821F9B"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2BA1" w14:textId="77777777" w:rsidR="009667A0" w:rsidRDefault="00966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79D2" w14:textId="77777777" w:rsidR="009667A0" w:rsidRDefault="00966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1A9A" w14:textId="77777777" w:rsidR="00821F9B" w:rsidRDefault="00821F9B" w:rsidP="00EE25C0">
      <w:pPr>
        <w:bidi/>
        <w:spacing w:after="0" w:line="240" w:lineRule="auto"/>
      </w:pPr>
      <w:r>
        <w:separator/>
      </w:r>
    </w:p>
  </w:footnote>
  <w:footnote w:type="continuationSeparator" w:id="0">
    <w:p w14:paraId="6952ACB5" w14:textId="77777777" w:rsidR="00821F9B" w:rsidRDefault="00821F9B" w:rsidP="00F71127">
      <w:pPr>
        <w:bidi/>
        <w:spacing w:after="0" w:line="240" w:lineRule="auto"/>
      </w:pPr>
      <w:r>
        <w:continuationSeparator/>
      </w:r>
    </w:p>
  </w:footnote>
  <w:footnote w:id="1">
    <w:p w14:paraId="4D0CCABF" w14:textId="77777777" w:rsidR="009667A0" w:rsidRDefault="009667A0" w:rsidP="009667A0">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مبسوط،ج6،ص11.</w:t>
      </w:r>
    </w:p>
  </w:footnote>
  <w:footnote w:id="2">
    <w:p w14:paraId="7ECAE63D" w14:textId="77777777" w:rsidR="009667A0" w:rsidRDefault="009667A0" w:rsidP="009667A0">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قواعد،ج3،ص103.</w:t>
      </w:r>
    </w:p>
  </w:footnote>
  <w:footnote w:id="3">
    <w:p w14:paraId="48EF9EBB" w14:textId="77777777" w:rsidR="009667A0" w:rsidRDefault="009667A0" w:rsidP="009667A0">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،ج8،ص468 و 469.</w:t>
      </w:r>
    </w:p>
  </w:footnote>
  <w:footnote w:id="4">
    <w:p w14:paraId="2BA94D6B" w14:textId="77777777" w:rsidR="009667A0" w:rsidRDefault="009667A0" w:rsidP="009667A0">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،ج7،ص559.</w:t>
      </w:r>
    </w:p>
  </w:footnote>
  <w:footnote w:id="5">
    <w:p w14:paraId="190BC16A" w14:textId="77777777" w:rsidR="009667A0" w:rsidRDefault="009667A0" w:rsidP="009667A0">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D967" w14:textId="77777777" w:rsidR="009667A0" w:rsidRDefault="00966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3FC602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9667A0">
                            <w:rPr>
                              <w:rFonts w:cs="B Mehr" w:hint="cs"/>
                              <w:rtl/>
                              <w:lang w:bidi="fa-IR"/>
                            </w:rPr>
                            <w:t>دو</w:t>
                          </w:r>
                          <w:r w:rsidR="00A47935">
                            <w:rPr>
                              <w:rFonts w:cs="B Mehr" w:hint="cs"/>
                              <w:rtl/>
                              <w:lang w:bidi="fa-IR"/>
                            </w:rPr>
                            <w:t xml:space="preserve"> </w:t>
                          </w:r>
                          <w:r w:rsidR="002A767C">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667A0">
                            <w:rPr>
                              <w:rFonts w:cs="B Mehr" w:hint="cs"/>
                              <w:rtl/>
                              <w:lang w:bidi="fa-IR"/>
                            </w:rPr>
                            <w:t>22</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3FC602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9667A0">
                      <w:rPr>
                        <w:rFonts w:cs="B Mehr" w:hint="cs"/>
                        <w:rtl/>
                        <w:lang w:bidi="fa-IR"/>
                      </w:rPr>
                      <w:t>دو</w:t>
                    </w:r>
                    <w:r w:rsidR="00A47935">
                      <w:rPr>
                        <w:rFonts w:cs="B Mehr" w:hint="cs"/>
                        <w:rtl/>
                        <w:lang w:bidi="fa-IR"/>
                      </w:rPr>
                      <w:t xml:space="preserve"> </w:t>
                    </w:r>
                    <w:r w:rsidR="002A767C">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667A0">
                      <w:rPr>
                        <w:rFonts w:cs="B Mehr" w:hint="cs"/>
                        <w:rtl/>
                        <w:lang w:bidi="fa-IR"/>
                      </w:rPr>
                      <w:t>22</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27AA" w14:textId="77777777" w:rsidR="009667A0" w:rsidRDefault="009667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A767C"/>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E70D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1F9B"/>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665D"/>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7A0"/>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47935"/>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7206352">
      <w:bodyDiv w:val="1"/>
      <w:marLeft w:val="0"/>
      <w:marRight w:val="0"/>
      <w:marTop w:val="0"/>
      <w:marBottom w:val="0"/>
      <w:divBdr>
        <w:top w:val="none" w:sz="0" w:space="0" w:color="auto"/>
        <w:left w:val="none" w:sz="0" w:space="0" w:color="auto"/>
        <w:bottom w:val="none" w:sz="0" w:space="0" w:color="auto"/>
        <w:right w:val="none" w:sz="0" w:space="0" w:color="auto"/>
      </w:divBdr>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3902608">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21737</TotalTime>
  <Pages>1</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721</cp:revision>
  <cp:lastPrinted>2025-04-14T09:12:00Z</cp:lastPrinted>
  <dcterms:created xsi:type="dcterms:W3CDTF">2022-10-16T08:36:00Z</dcterms:created>
  <dcterms:modified xsi:type="dcterms:W3CDTF">2026-01-18T17:44:00Z</dcterms:modified>
</cp:coreProperties>
</file>