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E28DB" w14:textId="77777777" w:rsidR="001A0FB3" w:rsidRDefault="001A0FB3" w:rsidP="001A0FB3">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19922743" w14:textId="77777777" w:rsidR="001A0FB3" w:rsidRDefault="001A0FB3" w:rsidP="001A0FB3">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16F8F6AE" w14:textId="77777777" w:rsidR="001A0FB3" w:rsidRDefault="001A0FB3" w:rsidP="001A0FB3">
      <w:pPr>
        <w:widowControl w:val="0"/>
        <w:bidi/>
        <w:spacing w:after="0"/>
        <w:jc w:val="center"/>
        <w:rPr>
          <w:rFonts w:cs="B Mitra" w:hint="cs"/>
          <w:b/>
          <w:bCs/>
          <w:sz w:val="32"/>
          <w:szCs w:val="32"/>
          <w:rtl/>
          <w:lang w:bidi="fa-IR"/>
        </w:rPr>
      </w:pPr>
      <w:r>
        <w:rPr>
          <w:rFonts w:cs="B Mitra" w:hint="cs"/>
          <w:b/>
          <w:bCs/>
          <w:sz w:val="32"/>
          <w:szCs w:val="32"/>
          <w:rtl/>
          <w:lang w:bidi="fa-IR"/>
        </w:rPr>
        <w:t>جلسه 896</w:t>
      </w:r>
    </w:p>
    <w:p w14:paraId="681C33AC" w14:textId="77777777" w:rsidR="001A0FB3" w:rsidRDefault="001A0FB3" w:rsidP="001A0FB3">
      <w:pPr>
        <w:widowControl w:val="0"/>
        <w:bidi/>
        <w:spacing w:after="0"/>
        <w:ind w:firstLine="284"/>
        <w:jc w:val="both"/>
        <w:rPr>
          <w:rFonts w:cs="Abz-2 (Badr)" w:hint="cs"/>
          <w:color w:val="000000" w:themeColor="text1"/>
          <w:sz w:val="28"/>
          <w:szCs w:val="28"/>
          <w:rtl/>
          <w:lang w:bidi="fa-IR"/>
        </w:rPr>
      </w:pPr>
      <w:bookmarkStart w:id="0" w:name="_Hlk159096966"/>
    </w:p>
    <w:bookmarkEnd w:id="0"/>
    <w:p w14:paraId="1CF72BBF" w14:textId="77777777" w:rsidR="001A0FB3" w:rsidRDefault="001A0FB3" w:rsidP="001A0FB3">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استدلالات فخر المحقّقين برای ملکيت زوجه بر کسوه را جلسه قبل مطرح کرديم.</w:t>
      </w:r>
    </w:p>
    <w:p w14:paraId="51560531" w14:textId="77777777" w:rsidR="001A0FB3" w:rsidRDefault="001A0FB3" w:rsidP="001A0FB3">
      <w:pPr>
        <w:widowControl w:val="0"/>
        <w:bidi/>
        <w:spacing w:after="0" w:line="264" w:lineRule="auto"/>
        <w:ind w:firstLine="284"/>
        <w:jc w:val="both"/>
        <w:rPr>
          <w:rFonts w:cs="Abz-2 (Badr)" w:hint="cs"/>
          <w:color w:val="0070C0"/>
          <w:sz w:val="28"/>
          <w:szCs w:val="28"/>
          <w:rtl/>
        </w:rPr>
      </w:pPr>
      <w:r>
        <w:rPr>
          <w:rFonts w:cs="Abz-2 (Badr)" w:hint="cs"/>
          <w:color w:val="000000" w:themeColor="text1"/>
          <w:sz w:val="28"/>
          <w:szCs w:val="28"/>
          <w:rtl/>
        </w:rPr>
        <w:t>اما شهيد ثانی بعد از نقل استدلالات مذکور می</w:t>
      </w:r>
      <w:r>
        <w:rPr>
          <w:rFonts w:cs="Abz-2 (Badr)" w:hint="cs"/>
          <w:color w:val="000000" w:themeColor="text1"/>
          <w:sz w:val="28"/>
          <w:szCs w:val="28"/>
          <w:rtl/>
        </w:rPr>
        <w:softHyphen/>
        <w:t xml:space="preserve">فرمايد: </w:t>
      </w:r>
      <w:r>
        <w:rPr>
          <w:rFonts w:cs="Abz-2 (Badr)" w:hint="cs"/>
          <w:color w:val="0070C0"/>
          <w:sz w:val="28"/>
          <w:szCs w:val="28"/>
          <w:rtl/>
        </w:rPr>
        <w:t>«</w:t>
      </w:r>
      <w:r>
        <w:rPr>
          <w:rFonts w:cs="Abz-2 (Badr)" w:hint="cs"/>
          <w:color w:val="0070C0"/>
          <w:sz w:val="28"/>
          <w:szCs w:val="28"/>
          <w:rtl/>
          <w:lang w:bidi="ar"/>
        </w:rPr>
        <w:t xml:space="preserve">فيه نظر، لمنع اقتضاء العطف التسوية في جميع الأحكام وجميع الوجوه. </w:t>
      </w:r>
    </w:p>
    <w:p w14:paraId="6C121B97" w14:textId="77777777" w:rsidR="001A0FB3" w:rsidRDefault="001A0FB3" w:rsidP="001A0FB3">
      <w:pPr>
        <w:widowControl w:val="0"/>
        <w:bidi/>
        <w:spacing w:after="0" w:line="264" w:lineRule="auto"/>
        <w:ind w:firstLine="284"/>
        <w:jc w:val="both"/>
        <w:rPr>
          <w:rFonts w:cs="Abz-2 (Badr)"/>
          <w:color w:val="0070C0"/>
          <w:spacing w:val="-4"/>
          <w:sz w:val="28"/>
          <w:szCs w:val="28"/>
          <w:lang w:bidi="ar"/>
        </w:rPr>
      </w:pPr>
      <w:r>
        <w:rPr>
          <w:rFonts w:cs="Abz-2 (Badr)" w:hint="cs"/>
          <w:color w:val="0070C0"/>
          <w:spacing w:val="-4"/>
          <w:sz w:val="28"/>
          <w:szCs w:val="28"/>
          <w:rtl/>
          <w:lang w:bidi="ar"/>
        </w:rPr>
        <w:t xml:space="preserve">سلّمنا، لكنّ المعتبر الاشتراك في الحكم المذكور دون صفته وكيفيّته، فإنّ قولنا: «أكرم زيداً وعمراً» يقتضي اشتراكهما في أصل الإكرام لا التسوية فيه من كلّ‌ وجه. والظاهر من الحكم هنا كون الرزق مستحقّاً عليه فتكون الكسوة كذلك، وأمّا كيفيّة الاستحقاق فأمر آخر خارج عن أصل الحكم، ومن الجائز أن يريد بقوله: </w:t>
      </w:r>
      <w:r>
        <w:rPr>
          <w:rFonts w:cs="QuranTaha" w:hint="cs"/>
          <w:color w:val="BF8F00" w:themeColor="accent4" w:themeShade="BF"/>
          <w:spacing w:val="-4"/>
          <w:sz w:val="26"/>
          <w:szCs w:val="26"/>
          <w:rtl/>
          <w:lang w:bidi="ar"/>
        </w:rPr>
        <w:t>«وَكِسْوَتُهُنَّ»</w:t>
      </w:r>
      <w:r>
        <w:rPr>
          <w:rFonts w:cs="Abz-2 (Badr)" w:hint="cs"/>
          <w:color w:val="0070C0"/>
          <w:spacing w:val="-4"/>
          <w:sz w:val="28"/>
          <w:szCs w:val="28"/>
          <w:rtl/>
          <w:lang w:bidi="ar"/>
        </w:rPr>
        <w:t xml:space="preserve"> جعلهنّ‌ مكسيّات وهو يتمّ‌ بالإمتاع.</w:t>
      </w:r>
    </w:p>
    <w:p w14:paraId="0DB95430" w14:textId="77777777" w:rsidR="001A0FB3" w:rsidRDefault="001A0FB3" w:rsidP="001A0FB3">
      <w:pPr>
        <w:widowControl w:val="0"/>
        <w:bidi/>
        <w:spacing w:after="0" w:line="264" w:lineRule="auto"/>
        <w:ind w:firstLine="284"/>
        <w:jc w:val="both"/>
        <w:rPr>
          <w:rFonts w:cs="Abz-2 (Badr)" w:hint="cs"/>
          <w:color w:val="0070C0"/>
          <w:sz w:val="28"/>
          <w:szCs w:val="28"/>
          <w:rtl/>
          <w:lang w:bidi="ar"/>
        </w:rPr>
      </w:pPr>
      <w:r>
        <w:rPr>
          <w:rFonts w:cs="Abz-2 (Badr)" w:hint="cs"/>
          <w:color w:val="0070C0"/>
          <w:sz w:val="28"/>
          <w:szCs w:val="28"/>
          <w:rtl/>
          <w:lang w:bidi="ar"/>
        </w:rPr>
        <w:t xml:space="preserve">وأمّا الخبر فمع قطع النظر عن إسناده يجوز كون اللام للاستحقاق لا للملك أو الاختصاص، بل هو الأصل فيها كما حقّقه جماعة، وهما يتحقّقان بالإمتاع. </w:t>
      </w:r>
    </w:p>
    <w:p w14:paraId="19DF714F" w14:textId="77777777" w:rsidR="001A0FB3" w:rsidRDefault="001A0FB3" w:rsidP="001A0FB3">
      <w:pPr>
        <w:widowControl w:val="0"/>
        <w:bidi/>
        <w:spacing w:after="0" w:line="264" w:lineRule="auto"/>
        <w:ind w:firstLine="284"/>
        <w:jc w:val="both"/>
        <w:rPr>
          <w:rFonts w:cs="Abz-2 (Badr)" w:hint="cs"/>
          <w:color w:val="000000" w:themeColor="text1"/>
          <w:sz w:val="28"/>
          <w:szCs w:val="28"/>
          <w:rtl/>
          <w:lang w:bidi="fa-IR"/>
        </w:rPr>
      </w:pPr>
      <w:r>
        <w:rPr>
          <w:rFonts w:cs="Abz-2 (Badr)" w:hint="cs"/>
          <w:color w:val="0070C0"/>
          <w:sz w:val="28"/>
          <w:szCs w:val="28"/>
          <w:rtl/>
          <w:lang w:bidi="ar"/>
        </w:rPr>
        <w:t>ويؤيّد الثاني أنّ‌ الغاية من الكسوة الستر، وهو يحصل بالإمتاع كالسكنى، وأصالة براءة الذمّة من التمليك.»</w:t>
      </w:r>
      <w:r>
        <w:rPr>
          <w:rStyle w:val="FootnoteReference"/>
          <w:rFonts w:cs="Abz-2 (Badr)"/>
          <w:color w:val="000000" w:themeColor="text1"/>
          <w:sz w:val="28"/>
          <w:szCs w:val="28"/>
          <w:rtl/>
          <w:lang w:bidi="ar"/>
        </w:rPr>
        <w:footnoteReference w:id="1"/>
      </w:r>
    </w:p>
    <w:p w14:paraId="2C0A9C32" w14:textId="77777777" w:rsidR="001A0FB3" w:rsidRDefault="001A0FB3" w:rsidP="001A0FB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ولی در پاسخ به استدلالات فخر المحققين بهتر است گفته شود: آيه مذکور ارتباطی به نفقه زوجه ندارد، بلکه مربوط به مادری است که در حال شير دادن به فرزند خود است. در نتيجه استدلال به آن در اين مقام صحيح نيست. اگر هم آن را شامل زوجه بدانيم، پاسخ از استدلال به آن همان مطلبی است که شهيد ثانی فرموده است.</w:t>
      </w:r>
    </w:p>
    <w:p w14:paraId="2E17025B" w14:textId="77777777" w:rsidR="001A0FB3" w:rsidRDefault="001A0FB3" w:rsidP="001A0FB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روايت مذکور نيز علاوه بر عامی بودن، دلالتی بر مدعا ندارد.</w:t>
      </w:r>
    </w:p>
    <w:p w14:paraId="43C22EE1" w14:textId="77777777" w:rsidR="001A0FB3" w:rsidRDefault="001A0FB3" w:rsidP="001A0FB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بلکه اخباری که سابقاً گذشت و در آنها آمده بود که آنچه بر زوج واجب است اين است که زوجه را بپوشاند، </w:t>
      </w:r>
      <w:r>
        <w:rPr>
          <w:rFonts w:cs="Abz-2 (Badr)" w:hint="cs"/>
          <w:color w:val="000000" w:themeColor="text1"/>
          <w:sz w:val="28"/>
          <w:szCs w:val="28"/>
          <w:rtl/>
          <w:lang w:bidi="fa-IR"/>
        </w:rPr>
        <w:lastRenderedPageBreak/>
        <w:t>دلالت بر اين دارند که صرف پوشاندن زوجه که مرادف با امتاع است بر زوج واجب است نه چيزی بيش از آن.</w:t>
      </w:r>
    </w:p>
    <w:p w14:paraId="0B8D5511" w14:textId="77777777" w:rsidR="001A0FB3" w:rsidRDefault="001A0FB3" w:rsidP="001A0FB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فلذا بسياری از اصحاب ـ مثل صاحب مدارک و کاشف اللثام و سبزواری و صاحب جواهر</w:t>
      </w:r>
      <w:r>
        <w:rPr>
          <w:rStyle w:val="FootnoteReference"/>
          <w:rFonts w:cs="Abz-2 (Badr)"/>
          <w:color w:val="000000" w:themeColor="text1"/>
          <w:sz w:val="28"/>
          <w:szCs w:val="28"/>
          <w:rtl/>
          <w:lang w:bidi="ar"/>
        </w:rPr>
        <w:footnoteReference w:id="2"/>
      </w:r>
      <w:r>
        <w:rPr>
          <w:rFonts w:cs="Abz-2 (Badr)" w:hint="cs"/>
          <w:color w:val="000000" w:themeColor="text1"/>
          <w:sz w:val="28"/>
          <w:szCs w:val="28"/>
          <w:rtl/>
          <w:lang w:bidi="fa-IR"/>
        </w:rPr>
        <w:t xml:space="preserve"> ـ قائل به عدم وجوب تمليک شده</w:t>
      </w:r>
      <w:r>
        <w:rPr>
          <w:rFonts w:cs="Abz-2 (Badr)" w:hint="cs"/>
          <w:color w:val="000000" w:themeColor="text1"/>
          <w:sz w:val="28"/>
          <w:szCs w:val="28"/>
          <w:rtl/>
          <w:lang w:bidi="fa-IR"/>
        </w:rPr>
        <w:softHyphen/>
        <w:t>اند، بلکه صاحب رياض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إنّ‌ المعتبر من المسكن الإمتاع اتّفاقاً، ومن المؤونة التمليك في صبيحة كلّ يوم لا أزيد اتّفاقاً... وفي الكسوة قولان، أشهرهما وأجودهما أنّها كالأوّل.»</w:t>
      </w:r>
      <w:r>
        <w:rPr>
          <w:rStyle w:val="FootnoteReference"/>
          <w:rFonts w:cs="Abz-2 (Badr)"/>
          <w:color w:val="000000" w:themeColor="text1"/>
          <w:sz w:val="28"/>
          <w:szCs w:val="28"/>
          <w:rtl/>
          <w:lang w:bidi="ar"/>
        </w:rPr>
        <w:footnoteReference w:id="3"/>
      </w:r>
    </w:p>
    <w:p w14:paraId="48053329" w14:textId="77777777" w:rsidR="001A0FB3" w:rsidRDefault="001A0FB3" w:rsidP="001A0FB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البته بعيد نيست گفته شود: چنانچه شأن زن اقتضاء نمايد که لباس به وی تمليک گردد و پوشيدن لباسی که ملک وی نيست، در شأن او نباشد، بر زوج واجب است که لباس را به وی تمليک نمايد.</w:t>
      </w:r>
    </w:p>
    <w:p w14:paraId="0A887866" w14:textId="77777777" w:rsidR="001A0FB3" w:rsidRDefault="001A0FB3" w:rsidP="001A0FB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فرق اين مطلب با آنچه که در خصوص طعام و امثال آن گذشت در اين است که در آن موارد، شارع آن موارد را به ملک زوجه درآورده است، فلذا می</w:t>
      </w:r>
      <w:r>
        <w:rPr>
          <w:rFonts w:cs="Abz-2 (Badr)" w:hint="cs"/>
          <w:color w:val="000000" w:themeColor="text1"/>
          <w:sz w:val="28"/>
          <w:szCs w:val="28"/>
          <w:rtl/>
          <w:lang w:bidi="fa-IR"/>
        </w:rPr>
        <w:softHyphen/>
        <w:t>توان ذمه زوج را در صورت ندادن نفقه به زوجه، به وی مشغول دانست، در حالی که در خصوص لباس، چنانچه شأن زن اقتضاء نمايد، بر زوج واجب است که آن را به وی تمليک نمايد که در نتيجه اگر تمليک صورت نپذيرفت، دليلی برای شغل ذمه زوج وجود نخواهد داشت.</w:t>
      </w:r>
    </w:p>
    <w:p w14:paraId="307FA5FD" w14:textId="77777777" w:rsidR="001A0FB3" w:rsidRDefault="001A0FB3" w:rsidP="001A0FB3">
      <w:pPr>
        <w:widowControl w:val="0"/>
        <w:bidi/>
        <w:spacing w:after="0"/>
        <w:ind w:firstLine="284"/>
        <w:jc w:val="both"/>
        <w:rPr>
          <w:rFonts w:cs="Abz-2 (Badr)" w:hint="cs"/>
          <w:color w:val="000000" w:themeColor="text1"/>
          <w:sz w:val="28"/>
          <w:szCs w:val="28"/>
          <w:rtl/>
          <w:lang w:bidi="fa-IR"/>
        </w:rPr>
      </w:pPr>
      <w:bookmarkStart w:id="1" w:name="_Hlk217813422"/>
      <w:r>
        <w:rPr>
          <w:rFonts w:cs="Abz-2 (Badr)" w:hint="cs"/>
          <w:color w:val="000000" w:themeColor="text1"/>
          <w:sz w:val="28"/>
          <w:szCs w:val="28"/>
          <w:rtl/>
          <w:lang w:bidi="fa-IR"/>
        </w:rPr>
        <w:t>بلکه چه بسا بتوان اين مطلب را به مواردی مثل مسکن نيز تعميم داد، هرچند وجود عرفی که شأن زن را اين بداند که مالک مسکن باشد، محل کلام است.</w:t>
      </w:r>
    </w:p>
    <w:p w14:paraId="2C0FB8F2" w14:textId="77777777" w:rsidR="001A0FB3" w:rsidRDefault="001A0FB3" w:rsidP="001A0FB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اصحاب ثمراتی برای قول به ملکيت زوجه بر کسوه و قول به صرف وجوب امتاع آن مطرح کرده</w:t>
      </w:r>
      <w:r>
        <w:rPr>
          <w:rFonts w:cs="Abz-2 (Badr)" w:hint="cs"/>
          <w:color w:val="000000" w:themeColor="text1"/>
          <w:sz w:val="28"/>
          <w:szCs w:val="28"/>
          <w:rtl/>
          <w:lang w:bidi="fa-IR"/>
        </w:rPr>
        <w:softHyphen/>
        <w:t>اند که جلسه آينده به ذکر آن خواهيم پرداخت ان شاء الله.</w:t>
      </w:r>
    </w:p>
    <w:p w14:paraId="7236F42D" w14:textId="77777777" w:rsidR="001A0FB3" w:rsidRDefault="001A0FB3" w:rsidP="001A0FB3">
      <w:pPr>
        <w:rPr>
          <w:rFonts w:cs="Abz-2 (Badr)" w:hint="cs"/>
          <w:color w:val="000000" w:themeColor="text1"/>
          <w:spacing w:val="-2"/>
          <w:sz w:val="28"/>
          <w:szCs w:val="28"/>
          <w:rtl/>
          <w:lang w:bidi="fa-IR"/>
        </w:rPr>
      </w:pPr>
      <w:r>
        <w:rPr>
          <w:rFonts w:cs="Abz-2 (Badr)" w:hint="cs"/>
          <w:color w:val="000000" w:themeColor="text1"/>
          <w:spacing w:val="-2"/>
          <w:sz w:val="28"/>
          <w:szCs w:val="28"/>
          <w:rtl/>
          <w:lang w:bidi="fa-IR"/>
        </w:rPr>
        <w:br w:type="page"/>
      </w:r>
    </w:p>
    <w:p w14:paraId="41426180" w14:textId="77777777" w:rsidR="001A0FB3" w:rsidRDefault="001A0FB3" w:rsidP="001A0FB3">
      <w:pPr>
        <w:widowControl w:val="0"/>
        <w:bidi/>
        <w:spacing w:after="0" w:line="264" w:lineRule="auto"/>
        <w:ind w:firstLine="284"/>
        <w:jc w:val="both"/>
        <w:rPr>
          <w:rFonts w:cs="Abz-2 (Badr)" w:hint="cs"/>
          <w:color w:val="000000" w:themeColor="text1"/>
          <w:sz w:val="28"/>
          <w:szCs w:val="28"/>
          <w:rtl/>
          <w:lang w:bidi="fa-IR"/>
        </w:rPr>
      </w:pPr>
      <w:r>
        <w:rPr>
          <w:rFonts w:cs="Abz-2 (Badr)" w:hint="cs"/>
          <w:color w:val="000000" w:themeColor="text1"/>
          <w:sz w:val="28"/>
          <w:szCs w:val="28"/>
          <w:rtl/>
        </w:rPr>
        <w:lastRenderedPageBreak/>
        <w:t>لقد ذكرنا في الجلسة السابقة استدلالات فخر المحقّقين على ملكيّة الزوجة للكسوة.</w:t>
      </w:r>
    </w:p>
    <w:p w14:paraId="2AA34EC8" w14:textId="77777777" w:rsidR="001A0FB3" w:rsidRDefault="001A0FB3" w:rsidP="001A0FB3">
      <w:pPr>
        <w:widowControl w:val="0"/>
        <w:bidi/>
        <w:spacing w:after="0" w:line="264" w:lineRule="auto"/>
        <w:ind w:firstLine="284"/>
        <w:jc w:val="both"/>
        <w:rPr>
          <w:rFonts w:cs="Abz-2 (Badr)"/>
          <w:color w:val="0070C0"/>
          <w:sz w:val="28"/>
          <w:szCs w:val="28"/>
        </w:rPr>
      </w:pPr>
      <w:bookmarkStart w:id="2" w:name="_Hlk217856631"/>
      <w:r>
        <w:rPr>
          <w:rFonts w:cs="Abz-2 (Badr)" w:hint="cs"/>
          <w:color w:val="000000" w:themeColor="text1"/>
          <w:sz w:val="28"/>
          <w:szCs w:val="28"/>
          <w:rtl/>
        </w:rPr>
        <w:t xml:space="preserve">وأمّا الشهيد الثاني، فبعد أن نقل تلك الاستدلالات قال: </w:t>
      </w:r>
      <w:r>
        <w:rPr>
          <w:rFonts w:cs="Abz-2 (Badr)" w:hint="cs"/>
          <w:color w:val="0070C0"/>
          <w:sz w:val="28"/>
          <w:szCs w:val="28"/>
          <w:rtl/>
        </w:rPr>
        <w:t>«</w:t>
      </w:r>
      <w:r>
        <w:rPr>
          <w:rFonts w:cs="Abz-2 (Badr)" w:hint="cs"/>
          <w:color w:val="0070C0"/>
          <w:sz w:val="28"/>
          <w:szCs w:val="28"/>
          <w:rtl/>
          <w:lang w:bidi="ar"/>
        </w:rPr>
        <w:t xml:space="preserve">فيه نظر، لمنع اقتضاء العطف التسوية في جميع الأحكام وجميع الوجوه. </w:t>
      </w:r>
    </w:p>
    <w:p w14:paraId="56121BFB" w14:textId="77777777" w:rsidR="001A0FB3" w:rsidRDefault="001A0FB3" w:rsidP="001A0FB3">
      <w:pPr>
        <w:widowControl w:val="0"/>
        <w:bidi/>
        <w:spacing w:after="0" w:line="264" w:lineRule="auto"/>
        <w:ind w:firstLine="284"/>
        <w:jc w:val="both"/>
        <w:rPr>
          <w:rFonts w:cs="Abz-2 (Badr)"/>
          <w:color w:val="0070C0"/>
          <w:spacing w:val="-4"/>
          <w:sz w:val="28"/>
          <w:szCs w:val="28"/>
          <w:lang w:bidi="ar"/>
        </w:rPr>
      </w:pPr>
      <w:r>
        <w:rPr>
          <w:rFonts w:cs="Abz-2 (Badr)" w:hint="cs"/>
          <w:color w:val="0070C0"/>
          <w:spacing w:val="-4"/>
          <w:sz w:val="28"/>
          <w:szCs w:val="28"/>
          <w:rtl/>
          <w:lang w:bidi="ar"/>
        </w:rPr>
        <w:t xml:space="preserve">سلّمنا، لكنّ المعتبر الاشتراك في الحكم المذكور دون صفته وكيفيّته، فإنّ قولنا: «أكرم زيداً وعمراً» يقتضي اشتراكهما في أصل الإكرام لا التسوية فيه من كلّ‌ وجه. والظاهر من الحكم هنا كون الرزق مستحقّاً عليه فتكون الكسوة كذلك، وأمّا كيفيّة الاستحقاق فأمر آخر خارج عن أصل الحكم، ومن الجائز أن يريد بقوله: </w:t>
      </w:r>
      <w:r>
        <w:rPr>
          <w:rFonts w:cs="QuranTaha" w:hint="cs"/>
          <w:color w:val="BF8F00" w:themeColor="accent4" w:themeShade="BF"/>
          <w:spacing w:val="-4"/>
          <w:sz w:val="26"/>
          <w:szCs w:val="26"/>
          <w:rtl/>
          <w:lang w:bidi="ar"/>
        </w:rPr>
        <w:t>«وَكِسْوَتُهُنَّ»</w:t>
      </w:r>
      <w:r>
        <w:rPr>
          <w:rFonts w:cs="Abz-2 (Badr)" w:hint="cs"/>
          <w:color w:val="0070C0"/>
          <w:spacing w:val="-4"/>
          <w:sz w:val="28"/>
          <w:szCs w:val="28"/>
          <w:rtl/>
          <w:lang w:bidi="ar"/>
        </w:rPr>
        <w:t xml:space="preserve"> جعلهنّ‌ مكسيّات وهو يتمّ‌ بالإمتاع.</w:t>
      </w:r>
    </w:p>
    <w:p w14:paraId="0FC85769" w14:textId="77777777" w:rsidR="001A0FB3" w:rsidRDefault="001A0FB3" w:rsidP="001A0FB3">
      <w:pPr>
        <w:widowControl w:val="0"/>
        <w:bidi/>
        <w:spacing w:after="0" w:line="264" w:lineRule="auto"/>
        <w:ind w:firstLine="284"/>
        <w:jc w:val="both"/>
        <w:rPr>
          <w:rFonts w:cs="Abz-2 (Badr)" w:hint="cs"/>
          <w:color w:val="0070C0"/>
          <w:sz w:val="28"/>
          <w:szCs w:val="28"/>
          <w:rtl/>
          <w:lang w:bidi="ar"/>
        </w:rPr>
      </w:pPr>
      <w:r>
        <w:rPr>
          <w:rFonts w:cs="Abz-2 (Badr)" w:hint="cs"/>
          <w:color w:val="0070C0"/>
          <w:sz w:val="28"/>
          <w:szCs w:val="28"/>
          <w:rtl/>
          <w:lang w:bidi="ar"/>
        </w:rPr>
        <w:t xml:space="preserve">وأمّا الخبر فمع قطع النظر عن إسناده يجوز كون اللام للاستحقاق لا للملك أو الاختصاص، بل هو الأصل فيها كما حقّقه جماعة، وهما يتحقّقان بالإمتاع. </w:t>
      </w:r>
    </w:p>
    <w:p w14:paraId="13CE07DA" w14:textId="77777777" w:rsidR="001A0FB3" w:rsidRDefault="001A0FB3" w:rsidP="001A0FB3">
      <w:pPr>
        <w:widowControl w:val="0"/>
        <w:bidi/>
        <w:spacing w:after="0" w:line="264" w:lineRule="auto"/>
        <w:ind w:firstLine="284"/>
        <w:jc w:val="both"/>
        <w:rPr>
          <w:rFonts w:cs="Abz-2 (Badr)" w:hint="cs"/>
          <w:color w:val="000000" w:themeColor="text1"/>
          <w:sz w:val="28"/>
          <w:szCs w:val="28"/>
          <w:rtl/>
          <w:lang w:bidi="fa-IR"/>
        </w:rPr>
      </w:pPr>
      <w:r>
        <w:rPr>
          <w:rFonts w:cs="Abz-2 (Badr)" w:hint="cs"/>
          <w:color w:val="0070C0"/>
          <w:sz w:val="28"/>
          <w:szCs w:val="28"/>
          <w:rtl/>
          <w:lang w:bidi="ar"/>
        </w:rPr>
        <w:t>ويؤيّد الثاني أنّ‌ الغاية من الكسوة الستر، وهو يحصل بالإمتاع كالسكنى، وأصالة براءة الذمّة من التمليك.»</w:t>
      </w:r>
      <w:r>
        <w:rPr>
          <w:rStyle w:val="FootnoteReference"/>
          <w:rFonts w:cs="Abz-2 (Badr)"/>
          <w:color w:val="000000" w:themeColor="text1"/>
          <w:sz w:val="28"/>
          <w:szCs w:val="28"/>
          <w:rtl/>
          <w:lang w:bidi="ar"/>
        </w:rPr>
        <w:footnoteReference w:id="4"/>
      </w:r>
    </w:p>
    <w:p w14:paraId="620FEC38" w14:textId="77777777" w:rsidR="001A0FB3" w:rsidRDefault="001A0FB3" w:rsidP="001A0FB3">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لكنّ الأولی في الجواب عن استدلالات فخر المحقّقين أن يقال: إنّ الآية المذكورة لا ترتبط بنفقة الزوجة، بل هي ناظرة إلى الأُمّ التي تكون في حال إرضاع ولدها، فلا يصحّ الاستدلال بها في هذا المقام. ولو سلّمنا بشمولها للزوجة أيضاً، فجواب الاستدلال بها هو نفس ما أفاده الشهيد الثاني.</w:t>
      </w:r>
    </w:p>
    <w:p w14:paraId="17E5F8C3" w14:textId="77777777" w:rsidR="001A0FB3" w:rsidRDefault="001A0FB3" w:rsidP="001A0FB3">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rPr>
        <w:t>وأمّا الرواية المذكورة فهي ـ مضافاً إلى كونها عامّية ـ لا دلالة لها على المدّعى.</w:t>
      </w:r>
    </w:p>
    <w:p w14:paraId="6C851133" w14:textId="77777777" w:rsidR="001A0FB3" w:rsidRDefault="001A0FB3" w:rsidP="001A0FB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rPr>
        <w:t>بل الأخبار التي تقدّمت سابقاً والتي ورد فيها أنّ الواجب على الزوج هو أن يكسو ما يواري عورة زوجته، تدلّ على أنّ الواجب إنّما هو مجرّد اکتساء الزوجة ـ وهو ما يلازم الإمتاع ـ لا أزيد من ذلك</w:t>
      </w:r>
      <w:r>
        <w:rPr>
          <w:rFonts w:cs="Abz-2 (Badr)" w:hint="cs"/>
          <w:color w:val="000000" w:themeColor="text1"/>
          <w:sz w:val="28"/>
          <w:szCs w:val="28"/>
          <w:rtl/>
          <w:lang w:bidi="fa-IR"/>
        </w:rPr>
        <w:t>.</w:t>
      </w:r>
    </w:p>
    <w:p w14:paraId="47F1D2DA" w14:textId="77777777" w:rsidR="001A0FB3" w:rsidRDefault="001A0FB3" w:rsidP="001A0FB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rPr>
        <w:t>وعلى هذا فقد ذهب كثير من الأصحاب ـ كصاحب المدارك وكاشف اللثام والمحقّق السبزواري وصاحب الجواهر</w:t>
      </w:r>
      <w:r>
        <w:rPr>
          <w:rStyle w:val="FootnoteReference"/>
          <w:rFonts w:cs="Abz-2 (Badr)"/>
          <w:color w:val="000000" w:themeColor="text1"/>
          <w:sz w:val="28"/>
          <w:szCs w:val="28"/>
          <w:rtl/>
          <w:lang w:bidi="ar"/>
        </w:rPr>
        <w:footnoteReference w:id="5"/>
      </w:r>
      <w:r>
        <w:rPr>
          <w:rFonts w:cs="Abz-2 (Badr)" w:hint="cs"/>
          <w:color w:val="000000" w:themeColor="text1"/>
          <w:sz w:val="28"/>
          <w:szCs w:val="28"/>
          <w:rtl/>
          <w:lang w:bidi="fa-IR"/>
        </w:rPr>
        <w:t xml:space="preserve"> ـ </w:t>
      </w:r>
      <w:r>
        <w:rPr>
          <w:rFonts w:cs="Abz-2 (Badr)" w:hint="cs"/>
          <w:color w:val="000000" w:themeColor="text1"/>
          <w:sz w:val="28"/>
          <w:szCs w:val="28"/>
          <w:rtl/>
        </w:rPr>
        <w:t>إلى عدم وجوب التمليك؛ بل قال صاحب الرياض</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 xml:space="preserve">إنّ‌ المعتبر من المسكن الإمتاع اتّفاقاً، ومن المؤونة التمليك في صبيحة </w:t>
      </w:r>
      <w:r>
        <w:rPr>
          <w:rFonts w:cs="Abz-2 (Badr)" w:hint="cs"/>
          <w:color w:val="0070C0"/>
          <w:sz w:val="28"/>
          <w:szCs w:val="28"/>
          <w:rtl/>
          <w:lang w:bidi="ar"/>
        </w:rPr>
        <w:lastRenderedPageBreak/>
        <w:t>كلّ يوم لا أزيد اتّفاقاً... وفي الكسوة قولان، أشهرهما وأجودهما أنّها كالأوّل.»</w:t>
      </w:r>
      <w:r>
        <w:rPr>
          <w:rStyle w:val="FootnoteReference"/>
          <w:rFonts w:cs="Abz-2 (Badr)"/>
          <w:color w:val="000000" w:themeColor="text1"/>
          <w:sz w:val="28"/>
          <w:szCs w:val="28"/>
          <w:rtl/>
          <w:lang w:bidi="ar"/>
        </w:rPr>
        <w:footnoteReference w:id="6"/>
      </w:r>
    </w:p>
    <w:p w14:paraId="2332E2D1" w14:textId="77777777" w:rsidR="001A0FB3" w:rsidRDefault="001A0FB3" w:rsidP="001A0FB3">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rPr>
        <w:t>نعم، لا يبعد أن يقال: إنّه إذا اقتضى شأن المرأة أن تملّك الکسوة وكان لبس ما ليس ملكاً لها ممّا لا يليق بشأنها، وجب على الزوج أن يملّكها الکسوة.</w:t>
      </w:r>
    </w:p>
    <w:p w14:paraId="72343BCC" w14:textId="77777777" w:rsidR="001A0FB3" w:rsidRDefault="001A0FB3" w:rsidP="001A0FB3">
      <w:pPr>
        <w:widowControl w:val="0"/>
        <w:bidi/>
        <w:spacing w:after="0"/>
        <w:ind w:firstLine="284"/>
        <w:jc w:val="both"/>
        <w:rPr>
          <w:rFonts w:cs="Abz-2 (Badr)"/>
          <w:color w:val="000000" w:themeColor="text1"/>
          <w:spacing w:val="-2"/>
          <w:sz w:val="28"/>
          <w:szCs w:val="28"/>
          <w:lang w:bidi="fa-IR"/>
        </w:rPr>
      </w:pPr>
      <w:r>
        <w:rPr>
          <w:rFonts w:cs="Abz-2 (Badr)" w:hint="cs"/>
          <w:color w:val="000000" w:themeColor="text1"/>
          <w:spacing w:val="-2"/>
          <w:sz w:val="28"/>
          <w:szCs w:val="28"/>
          <w:rtl/>
        </w:rPr>
        <w:t>غير أنّ الفرق بين هذا وبين ما تقدّم في الطعام ونحوه هو أنّ الشارع في تلك الموارد قد جعلها ملكاً للزوجة، ولذا يمكن الحكم باشتغال ذمّة الزوج لها إذا لم يدفع النفقة، بخلاف الکسوة؛ فإنّ وجوب تمليكها لها ـ على فرض اقتضاء شأن المرأة لذلك ـ إنّما هو تكليف على الزوج بحيث لو لم يحصل التمليك، فلا دليل على اشتغال ذمّته به</w:t>
      </w:r>
      <w:r>
        <w:rPr>
          <w:rFonts w:cs="Abz-2 (Badr)" w:hint="cs"/>
          <w:color w:val="000000" w:themeColor="text1"/>
          <w:spacing w:val="-2"/>
          <w:sz w:val="28"/>
          <w:szCs w:val="28"/>
          <w:rtl/>
          <w:lang w:bidi="fa-IR"/>
        </w:rPr>
        <w:t>.</w:t>
      </w:r>
    </w:p>
    <w:p w14:paraId="58E6F313" w14:textId="77777777" w:rsidR="001A0FB3" w:rsidRDefault="001A0FB3" w:rsidP="001A0FB3">
      <w:pPr>
        <w:widowControl w:val="0"/>
        <w:bidi/>
        <w:spacing w:after="0"/>
        <w:ind w:firstLine="284"/>
        <w:jc w:val="both"/>
        <w:rPr>
          <w:rFonts w:cs="Abz-2 (Badr)"/>
          <w:color w:val="000000" w:themeColor="text1"/>
          <w:spacing w:val="-2"/>
          <w:sz w:val="28"/>
          <w:szCs w:val="28"/>
        </w:rPr>
      </w:pPr>
      <w:r>
        <w:rPr>
          <w:rFonts w:cs="Abz-2 (Badr)" w:hint="cs"/>
          <w:color w:val="000000" w:themeColor="text1"/>
          <w:spacing w:val="-2"/>
          <w:sz w:val="28"/>
          <w:szCs w:val="28"/>
          <w:rtl/>
        </w:rPr>
        <w:t>بل لعلّه يمكن تعميم هذا الكلام إلى موارد أُخرى كالمسكن أيضاً، وإن كان وجود عرف يرى أنّ من شأن الزوجة أن تكون مالكة للمسكن محلّ كلام ونقاش.</w:t>
      </w:r>
    </w:p>
    <w:p w14:paraId="2F080462" w14:textId="77777777" w:rsidR="001A0FB3" w:rsidRDefault="001A0FB3" w:rsidP="001A0FB3">
      <w:pPr>
        <w:widowControl w:val="0"/>
        <w:bidi/>
        <w:spacing w:after="0"/>
        <w:ind w:firstLine="284"/>
        <w:jc w:val="both"/>
        <w:rPr>
          <w:rFonts w:cs="Abz-2 (Badr)" w:hint="cs"/>
          <w:color w:val="000000" w:themeColor="text1"/>
          <w:spacing w:val="-2"/>
          <w:sz w:val="28"/>
          <w:szCs w:val="28"/>
          <w:rtl/>
        </w:rPr>
      </w:pPr>
      <w:r>
        <w:rPr>
          <w:rFonts w:cs="Abz-2 (Badr)" w:hint="cs"/>
          <w:color w:val="000000" w:themeColor="text1"/>
          <w:spacing w:val="-2"/>
          <w:sz w:val="28"/>
          <w:szCs w:val="28"/>
          <w:rtl/>
        </w:rPr>
        <w:t>ثمّ إنّ الأصحاب قد ذکروا ثمرات للخلاف بين القول بملكيّة الزوجة للكسوة والقول بوجوب مجرّد الإمتاع بها، وسنتعرّض لذكرها في الجلسة القادمة إن شاء الله تعالی.</w:t>
      </w:r>
      <w:bookmarkEnd w:id="1"/>
      <w:bookmarkEnd w:id="2"/>
    </w:p>
    <w:p w14:paraId="2AD04477" w14:textId="7D63A4A4" w:rsidR="00B706A3" w:rsidRPr="001A0FB3" w:rsidRDefault="00B706A3" w:rsidP="001A0FB3">
      <w:pPr>
        <w:rPr>
          <w:rtl/>
        </w:rPr>
      </w:pPr>
    </w:p>
    <w:sectPr w:rsidR="00B706A3" w:rsidRPr="001A0FB3"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1DBA4" w14:textId="77777777" w:rsidR="00BB249A" w:rsidRDefault="00BB249A" w:rsidP="00F71127">
      <w:pPr>
        <w:spacing w:after="0" w:line="240" w:lineRule="auto"/>
      </w:pPr>
      <w:r>
        <w:separator/>
      </w:r>
    </w:p>
  </w:endnote>
  <w:endnote w:type="continuationSeparator" w:id="0">
    <w:p w14:paraId="6D7F1DF3" w14:textId="77777777" w:rsidR="00BB249A" w:rsidRDefault="00BB249A"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17CE" w14:textId="77777777" w:rsidR="00B62A76" w:rsidRDefault="00B62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7F83" w14:textId="77777777" w:rsidR="00B62A76" w:rsidRDefault="00B6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541C3" w14:textId="77777777" w:rsidR="00BB249A" w:rsidRDefault="00BB249A" w:rsidP="00EE25C0">
      <w:pPr>
        <w:bidi/>
        <w:spacing w:after="0" w:line="240" w:lineRule="auto"/>
      </w:pPr>
      <w:r>
        <w:separator/>
      </w:r>
    </w:p>
  </w:footnote>
  <w:footnote w:type="continuationSeparator" w:id="0">
    <w:p w14:paraId="12528CA2" w14:textId="77777777" w:rsidR="00BB249A" w:rsidRDefault="00BB249A" w:rsidP="00F71127">
      <w:pPr>
        <w:bidi/>
        <w:spacing w:after="0" w:line="240" w:lineRule="auto"/>
      </w:pPr>
      <w:r>
        <w:continuationSeparator/>
      </w:r>
    </w:p>
  </w:footnote>
  <w:footnote w:id="1">
    <w:p w14:paraId="619CED54" w14:textId="77777777" w:rsidR="001A0FB3" w:rsidRDefault="001A0FB3" w:rsidP="001A0FB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،ج8،ص464 و 465.</w:t>
      </w:r>
    </w:p>
  </w:footnote>
  <w:footnote w:id="2">
    <w:p w14:paraId="5C49A587" w14:textId="77777777" w:rsidR="001A0FB3" w:rsidRDefault="001A0FB3" w:rsidP="001A0FB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نهاية المرام،ج1،ص487 ـ کفاية الفقه،ج2،ص302 ـ کشف اللثام</w:t>
      </w:r>
      <w:r>
        <w:rPr>
          <w:rFonts w:cs="Abz-2 (Badr)" w:hint="cs"/>
          <w:rtl/>
          <w:lang w:bidi="fa-IR"/>
        </w:rPr>
        <w:t>،ج7،ص572 ـ جواهر الکلام،ج31،ص346 – 348.</w:t>
      </w:r>
    </w:p>
  </w:footnote>
  <w:footnote w:id="3">
    <w:p w14:paraId="1060091B" w14:textId="77777777" w:rsidR="001A0FB3" w:rsidRDefault="001A0FB3" w:rsidP="001A0FB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رياض</w:t>
      </w:r>
      <w:r>
        <w:rPr>
          <w:rFonts w:cs="Abz-2 (Badr)" w:hint="cs"/>
          <w:rtl/>
          <w:lang w:bidi="fa-IR"/>
        </w:rPr>
        <w:t>،ج12،ص185.</w:t>
      </w:r>
    </w:p>
  </w:footnote>
  <w:footnote w:id="4">
    <w:p w14:paraId="4F4A1B36" w14:textId="77777777" w:rsidR="001A0FB3" w:rsidRDefault="001A0FB3" w:rsidP="001A0FB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 الأفهام</w:t>
      </w:r>
      <w:r>
        <w:rPr>
          <w:rFonts w:cs="Abz-2 (Badr)" w:hint="cs"/>
          <w:rtl/>
          <w:lang w:bidi="fa-IR"/>
        </w:rPr>
        <w:t>،ج8،ص464 و 465.</w:t>
      </w:r>
    </w:p>
  </w:footnote>
  <w:footnote w:id="5">
    <w:p w14:paraId="6902CE9E" w14:textId="77777777" w:rsidR="001A0FB3" w:rsidRDefault="001A0FB3" w:rsidP="001A0FB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نهاية المرام،ج1،ص487 ـ کفاية الفقه،ج2،ص302 ـ کشف اللثام</w:t>
      </w:r>
      <w:r>
        <w:rPr>
          <w:rFonts w:cs="Abz-2 (Badr)" w:hint="cs"/>
          <w:rtl/>
          <w:lang w:bidi="fa-IR"/>
        </w:rPr>
        <w:t>،ج7،ص572 ـ جواهر الکلام،ج31،ص346 – 348.</w:t>
      </w:r>
    </w:p>
  </w:footnote>
  <w:footnote w:id="6">
    <w:p w14:paraId="2BBD61BC" w14:textId="77777777" w:rsidR="001A0FB3" w:rsidRDefault="001A0FB3" w:rsidP="001A0FB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رياض المسائل</w:t>
      </w:r>
      <w:r>
        <w:rPr>
          <w:rFonts w:cs="Abz-2 (Badr)" w:hint="cs"/>
          <w:rtl/>
          <w:lang w:bidi="fa-IR"/>
        </w:rPr>
        <w:t>،ج12،ص185.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C0DA" w14:textId="77777777" w:rsidR="00B62A76" w:rsidRDefault="00B62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68EDE22F"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1A0FB3">
                            <w:rPr>
                              <w:rFonts w:cs="B Mehr" w:hint="cs"/>
                              <w:rtl/>
                              <w:lang w:bidi="fa-IR"/>
                            </w:rPr>
                            <w:t>دو</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1A0FB3">
                            <w:rPr>
                              <w:rFonts w:cs="B Mehr" w:hint="cs"/>
                              <w:rtl/>
                              <w:lang w:bidi="fa-IR"/>
                            </w:rPr>
                            <w:t>08</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68EDE22F"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1A0FB3">
                      <w:rPr>
                        <w:rFonts w:cs="B Mehr" w:hint="cs"/>
                        <w:rtl/>
                        <w:lang w:bidi="fa-IR"/>
                      </w:rPr>
                      <w:t>دو</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1A0FB3">
                      <w:rPr>
                        <w:rFonts w:cs="B Mehr" w:hint="cs"/>
                        <w:rtl/>
                        <w:lang w:bidi="fa-IR"/>
                      </w:rPr>
                      <w:t>08</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BF71" w14:textId="77777777" w:rsidR="00B62A76" w:rsidRDefault="00B62A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21735</TotalTime>
  <Pages>1</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709</cp:revision>
  <cp:lastPrinted>2025-04-14T09:12:00Z</cp:lastPrinted>
  <dcterms:created xsi:type="dcterms:W3CDTF">2022-10-16T08:36:00Z</dcterms:created>
  <dcterms:modified xsi:type="dcterms:W3CDTF">2025-12-29T08:39:00Z</dcterms:modified>
</cp:coreProperties>
</file>