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40174" w14:textId="77777777" w:rsidR="00B62A76" w:rsidRDefault="00B62A76" w:rsidP="00B62A76">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22986B6D" w14:textId="77777777" w:rsidR="00B62A76" w:rsidRDefault="00B62A76" w:rsidP="00B62A76">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4C5DF57C" w14:textId="77777777" w:rsidR="00B62A76" w:rsidRDefault="00B62A76" w:rsidP="00B62A76">
      <w:pPr>
        <w:widowControl w:val="0"/>
        <w:bidi/>
        <w:spacing w:after="0"/>
        <w:jc w:val="center"/>
        <w:rPr>
          <w:rFonts w:cs="B Mitra" w:hint="cs"/>
          <w:b/>
          <w:bCs/>
          <w:sz w:val="32"/>
          <w:szCs w:val="32"/>
          <w:rtl/>
          <w:lang w:bidi="fa-IR"/>
        </w:rPr>
      </w:pPr>
      <w:r>
        <w:rPr>
          <w:rFonts w:cs="B Mitra" w:hint="cs"/>
          <w:b/>
          <w:bCs/>
          <w:sz w:val="32"/>
          <w:szCs w:val="32"/>
          <w:rtl/>
          <w:lang w:bidi="fa-IR"/>
        </w:rPr>
        <w:t>جلسه 890</w:t>
      </w:r>
    </w:p>
    <w:p w14:paraId="4B9F7B6D" w14:textId="77777777" w:rsidR="00B62A76" w:rsidRDefault="00B62A76" w:rsidP="00B62A76">
      <w:pPr>
        <w:widowControl w:val="0"/>
        <w:bidi/>
        <w:spacing w:after="0"/>
        <w:ind w:firstLine="284"/>
        <w:jc w:val="both"/>
        <w:rPr>
          <w:rFonts w:cs="Abz-2 (Badr)" w:hint="cs"/>
          <w:color w:val="000000" w:themeColor="text1"/>
          <w:sz w:val="28"/>
          <w:szCs w:val="28"/>
          <w:rtl/>
          <w:lang w:bidi="fa-IR"/>
        </w:rPr>
      </w:pPr>
      <w:bookmarkStart w:id="0" w:name="_Hlk159096966"/>
    </w:p>
    <w:p w14:paraId="404ED539" w14:textId="77777777" w:rsidR="00B62A76" w:rsidRDefault="00B62A76" w:rsidP="00B62A76">
      <w:pPr>
        <w:widowControl w:val="0"/>
        <w:bidi/>
        <w:spacing w:after="0" w:line="244" w:lineRule="auto"/>
        <w:ind w:firstLine="284"/>
        <w:jc w:val="both"/>
        <w:rPr>
          <w:rFonts w:cs="Abz-2 (Badr)" w:hint="cs"/>
          <w:color w:val="000000" w:themeColor="text1"/>
          <w:sz w:val="28"/>
          <w:szCs w:val="28"/>
          <w:rtl/>
          <w:lang w:bidi="fa-IR"/>
        </w:rPr>
      </w:pPr>
      <w:bookmarkStart w:id="1" w:name="_Hlk216519522"/>
      <w:bookmarkEnd w:id="0"/>
      <w:r>
        <w:rPr>
          <w:rFonts w:cs="Abz-2 (Badr)" w:hint="cs"/>
          <w:color w:val="000000" w:themeColor="text1"/>
          <w:sz w:val="28"/>
          <w:szCs w:val="28"/>
          <w:rtl/>
          <w:lang w:bidi="fa-IR"/>
        </w:rPr>
        <w:t>گفتيم که اگر در دليلی لزوم دفع عينی به فردی وارد شود و يا اين که فقط جواز انتفاع از عين برای آن فرد ذکر شده باشد ولی انتفاع از عين، مستلزم استهلاک و از بين رفتن عين باشد، عرف از آن برداشت وجوب تمليک دارد، خصوصاً اگر علاوه بر اين مطلب، تصرفات مبتنی بر ملک را نيز برای آن فرد تجويز نمايد.</w:t>
      </w:r>
    </w:p>
    <w:p w14:paraId="2B56B045" w14:textId="77777777" w:rsidR="00B62A76" w:rsidRDefault="00B62A76" w:rsidP="00B62A76">
      <w:pPr>
        <w:widowControl w:val="0"/>
        <w:bidi/>
        <w:spacing w:after="0" w:line="244" w:lineRule="auto"/>
        <w:ind w:firstLine="284"/>
        <w:jc w:val="both"/>
        <w:rPr>
          <w:rFonts w:cs="Abz-2 (Badr)" w:hint="cs"/>
          <w:color w:val="000000" w:themeColor="text1"/>
          <w:sz w:val="28"/>
          <w:szCs w:val="28"/>
          <w:rtl/>
          <w:lang w:bidi="fa-IR"/>
        </w:rPr>
      </w:pPr>
      <w:bookmarkStart w:id="2" w:name="_Hlk217043821"/>
      <w:r>
        <w:rPr>
          <w:rFonts w:cs="Abz-2 (Badr)" w:hint="cs"/>
          <w:color w:val="000000" w:themeColor="text1"/>
          <w:sz w:val="28"/>
          <w:szCs w:val="28"/>
          <w:rtl/>
          <w:lang w:bidi="fa-IR"/>
        </w:rPr>
        <w:t>اما آنچه که شهيد ثانی فرموده است مبنی بر اين که اصل در حقوق مالی بر شغل ذمه است، مدعای قابل قبولی نيست و مجرد اين که حقی مالی بر عهده کسی قرار بگيرد، مستلزم اين نيست که ذمه وی مشغول گردد؛ مثلاً چنانچه کسی در ضمن معامله</w:t>
      </w:r>
      <w:r>
        <w:rPr>
          <w:rFonts w:cs="Abz-2 (Badr)" w:hint="cs"/>
          <w:color w:val="000000" w:themeColor="text1"/>
          <w:sz w:val="28"/>
          <w:szCs w:val="28"/>
          <w:rtl/>
          <w:lang w:bidi="fa-IR"/>
        </w:rPr>
        <w:softHyphen/>
        <w:t>ای شرط کند که طرف مقابل کاری برای او انجام دهد و او نيز اين شرط را بپذيرد، هرچند فعل حرّ دارای ماليت است و از اين جهت می</w:t>
      </w:r>
      <w:r>
        <w:rPr>
          <w:rFonts w:cs="Abz-2 (Badr)" w:hint="cs"/>
          <w:color w:val="000000" w:themeColor="text1"/>
          <w:sz w:val="28"/>
          <w:szCs w:val="28"/>
          <w:rtl/>
          <w:lang w:bidi="fa-IR"/>
        </w:rPr>
        <w:softHyphen/>
        <w:t>توان اين مطلب را مستلزم اين دانست که مشروط عليه متعهد به تعهدی مالی به نفع مشروط له شده است، اما چنانچه مشروط عليه بعداً از انجام آن کار سرباز بزند، نمی</w:t>
      </w:r>
      <w:r>
        <w:rPr>
          <w:rFonts w:cs="Abz-2 (Badr)" w:hint="cs"/>
          <w:color w:val="000000" w:themeColor="text1"/>
          <w:sz w:val="28"/>
          <w:szCs w:val="28"/>
          <w:rtl/>
          <w:lang w:bidi="fa-IR"/>
        </w:rPr>
        <w:softHyphen/>
        <w:t>توان ذمه او را به مشروط له مشغول دانست و در صورتی که مشروط عليه بدون انجام آن فعل از دنيا برود، حکم به لزوم دفع به مقدار ارزش مالی آن عمل از ما ترک او به مشروط له نمود.</w:t>
      </w:r>
    </w:p>
    <w:p w14:paraId="37B50243" w14:textId="77777777" w:rsidR="00B62A76" w:rsidRDefault="00B62A76" w:rsidP="00B62A76">
      <w:pPr>
        <w:widowControl w:val="0"/>
        <w:bidi/>
        <w:spacing w:after="0" w:line="244"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دليل اين مطلب نيز همان مطلبی است که سابقاً و در بحث مهور گذشت مبنی بر اين که قرار گرفتن چيزی بر عهده با شغل ذمه متفاوت است و مجرد تعهد مالی مادامی که دليلی بر شغل ذمه به واسطه آن وجود نداشته باشد، عرفاً سبب شغل ذمه نمی</w:t>
      </w:r>
      <w:r>
        <w:rPr>
          <w:rFonts w:cs="Abz-2 (Badr)" w:hint="cs"/>
          <w:color w:val="000000" w:themeColor="text1"/>
          <w:sz w:val="28"/>
          <w:szCs w:val="28"/>
          <w:rtl/>
          <w:lang w:bidi="fa-IR"/>
        </w:rPr>
        <w:softHyphen/>
        <w:t>گردد.</w:t>
      </w:r>
    </w:p>
    <w:p w14:paraId="36248AD9" w14:textId="77777777" w:rsidR="00B62A76" w:rsidRDefault="00B62A76" w:rsidP="00B62A76">
      <w:pPr>
        <w:widowControl w:val="0"/>
        <w:bidi/>
        <w:spacing w:after="0" w:line="244"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نظير اين مسأله در مسائل کفارات مورد تعرض اصحاب قرار گرفته است.</w:t>
      </w:r>
    </w:p>
    <w:p w14:paraId="32EF7DC0" w14:textId="77777777" w:rsidR="00B62A76" w:rsidRDefault="00B62A76" w:rsidP="00B62A76">
      <w:pPr>
        <w:widowControl w:val="0"/>
        <w:bidi/>
        <w:spacing w:after="0" w:line="244"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 xml:space="preserve">صاحب عروه در اين خصوص فرموده است: </w:t>
      </w:r>
      <w:r>
        <w:rPr>
          <w:rFonts w:cs="Abz-2 (Badr)" w:hint="cs"/>
          <w:color w:val="0070C0"/>
          <w:sz w:val="28"/>
          <w:szCs w:val="28"/>
          <w:rtl/>
          <w:lang w:bidi="fa-IR"/>
        </w:rPr>
        <w:t>«</w:t>
      </w:r>
      <w:r>
        <w:rPr>
          <w:rFonts w:cs="Abz-2 (Badr)" w:hint="cs"/>
          <w:color w:val="0070C0"/>
          <w:sz w:val="28"/>
          <w:szCs w:val="28"/>
          <w:rtl/>
          <w:lang w:bidi="ar"/>
        </w:rPr>
        <w:t xml:space="preserve">يجب على من عليه واجب من الصلاة أو الصيام أو غيرهما من الواجبات أن يوصي به، خصوصاً مثل الزكاة والخمس والمظالم والكفّارات من الواجبات الماليّة، ويجب على الوصيّ إخراجها من </w:t>
      </w:r>
      <w:r>
        <w:rPr>
          <w:rFonts w:cs="Abz-2 (Badr)" w:hint="cs"/>
          <w:color w:val="0070C0"/>
          <w:sz w:val="28"/>
          <w:szCs w:val="28"/>
          <w:rtl/>
          <w:lang w:bidi="ar"/>
        </w:rPr>
        <w:lastRenderedPageBreak/>
        <w:t>أصل التركة في الواجبات الماليّة، ومنها الحجّ‌ الواجب ولو بنذر ونحوه، بل وجوب إخراج الصوم والصلاة من الواجبات البدنيّة أيضاً من الأصل لا يخلو عن قوّة، لأنّها دين الله ودين الله أحقّ‌ أن يقضى.»</w:t>
      </w:r>
      <w:r>
        <w:rPr>
          <w:rStyle w:val="FootnoteReference"/>
          <w:rFonts w:cs="Abz-2 (Badr)"/>
          <w:color w:val="000000" w:themeColor="text1"/>
          <w:sz w:val="28"/>
          <w:szCs w:val="28"/>
          <w:rtl/>
          <w:lang w:bidi="ar"/>
        </w:rPr>
        <w:footnoteReference w:id="1"/>
      </w:r>
    </w:p>
    <w:p w14:paraId="28B7FD34" w14:textId="77777777" w:rsidR="00B62A76" w:rsidRDefault="00B62A76" w:rsidP="00B62A76">
      <w:pPr>
        <w:widowControl w:val="0"/>
        <w:bidi/>
        <w:spacing w:after="0" w:line="244" w:lineRule="auto"/>
        <w:ind w:firstLine="284"/>
        <w:jc w:val="both"/>
        <w:rPr>
          <w:rFonts w:cs="Abz-2 (Badr)" w:hint="cs"/>
          <w:color w:val="0070C0"/>
          <w:sz w:val="28"/>
          <w:szCs w:val="28"/>
          <w:rtl/>
          <w:lang w:bidi="ar"/>
        </w:rPr>
      </w:pPr>
      <w:r>
        <w:rPr>
          <w:rFonts w:cs="Abz-2 (Badr)" w:hint="cs"/>
          <w:color w:val="000000" w:themeColor="text1"/>
          <w:sz w:val="28"/>
          <w:szCs w:val="28"/>
          <w:rtl/>
          <w:lang w:bidi="fa-IR"/>
        </w:rPr>
        <w:t>اما آيت الله خوئی با اشکال بر مدعای ايشان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lang w:bidi="ar"/>
        </w:rPr>
        <w:t>في خروجها عن أصل التركة إشكال بل منع. وكذلك الحجّ‌ الواجب بالنذر ونحوه.»</w:t>
      </w:r>
      <w:bookmarkStart w:id="3" w:name="_Hlk217042881"/>
      <w:r>
        <w:rPr>
          <w:rStyle w:val="FootnoteReference"/>
          <w:rFonts w:cs="Abz-2 (Badr)"/>
          <w:color w:val="000000" w:themeColor="text1"/>
          <w:sz w:val="28"/>
          <w:szCs w:val="28"/>
          <w:rtl/>
          <w:lang w:bidi="ar"/>
        </w:rPr>
        <w:footnoteReference w:id="2"/>
      </w:r>
      <w:bookmarkEnd w:id="3"/>
    </w:p>
    <w:p w14:paraId="35796E30" w14:textId="77777777" w:rsidR="00B62A76" w:rsidRDefault="00B62A76" w:rsidP="00B62A76">
      <w:pPr>
        <w:widowControl w:val="0"/>
        <w:bidi/>
        <w:spacing w:after="0" w:line="244" w:lineRule="auto"/>
        <w:ind w:firstLine="284"/>
        <w:jc w:val="both"/>
        <w:rPr>
          <w:rFonts w:cs="Abz-2 (Badr)" w:hint="cs"/>
          <w:color w:val="0070C0"/>
          <w:sz w:val="28"/>
          <w:szCs w:val="28"/>
          <w:rtl/>
          <w:lang w:bidi="ar"/>
        </w:rPr>
      </w:pPr>
      <w:r>
        <w:rPr>
          <w:rFonts w:cs="Abz-2 (Badr)" w:hint="cs"/>
          <w:color w:val="000000" w:themeColor="text1"/>
          <w:sz w:val="28"/>
          <w:szCs w:val="28"/>
          <w:rtl/>
          <w:lang w:bidi="ar"/>
        </w:rPr>
        <w:t xml:space="preserve">آيت الله سيستانی نيز در اين خصوص فرموده است: </w:t>
      </w:r>
      <w:r>
        <w:rPr>
          <w:rFonts w:cs="Abz-2 (Badr)" w:hint="cs"/>
          <w:color w:val="0070C0"/>
          <w:sz w:val="28"/>
          <w:szCs w:val="28"/>
          <w:rtl/>
          <w:lang w:bidi="ar"/>
        </w:rPr>
        <w:t>«لا يجب على‌ الورثة أداء ما وجب على‌ ميّتهم من الكفّارة البدنيّة ـ أي: الصيام ـ ولا إخراجها من تركته ما لم يوص بها. وإن أوصى‌ بها أُخرجت من ثلثه.</w:t>
      </w:r>
    </w:p>
    <w:p w14:paraId="0E84E70E" w14:textId="77777777" w:rsidR="00B62A76" w:rsidRDefault="00B62A76" w:rsidP="00B62A76">
      <w:pPr>
        <w:widowControl w:val="0"/>
        <w:bidi/>
        <w:spacing w:after="0" w:line="252" w:lineRule="auto"/>
        <w:ind w:firstLine="284"/>
        <w:jc w:val="both"/>
        <w:rPr>
          <w:rFonts w:cs="Abz-2 (Badr)" w:hint="cs"/>
          <w:color w:val="0070C0"/>
          <w:sz w:val="28"/>
          <w:szCs w:val="28"/>
          <w:rtl/>
          <w:lang w:bidi="ar"/>
        </w:rPr>
      </w:pPr>
      <w:r>
        <w:rPr>
          <w:rFonts w:cs="Abz-2 (Badr)" w:hint="cs"/>
          <w:color w:val="0070C0"/>
          <w:sz w:val="28"/>
          <w:szCs w:val="28"/>
          <w:rtl/>
          <w:lang w:bidi="ar"/>
        </w:rPr>
        <w:t>نعم، يحتمل وجوبها على‌ ولده الأكبر إن كان ولكنّ الأظهر عدمه. وإنّما يجري هذا الاحتمال فيما إذا تعيّن على الميّت الصيام، وأمّا مع عدم تعيّنه عليه ـ كما إذا كانت الكفّارة مخيّرة وكان متمكّناً من الصيام والإطعام ـ فإنّه لا يجب الصوم على‌ الولي بلا اشكال.</w:t>
      </w:r>
    </w:p>
    <w:p w14:paraId="1BA0BFBB" w14:textId="77777777" w:rsidR="00B62A76" w:rsidRDefault="00B62A76" w:rsidP="00B62A76">
      <w:pPr>
        <w:widowControl w:val="0"/>
        <w:bidi/>
        <w:spacing w:after="0" w:line="252" w:lineRule="auto"/>
        <w:ind w:firstLine="284"/>
        <w:jc w:val="both"/>
        <w:rPr>
          <w:rFonts w:cs="Abz-2 (Badr)" w:hint="cs"/>
          <w:color w:val="0070C0"/>
          <w:sz w:val="28"/>
          <w:szCs w:val="28"/>
          <w:rtl/>
          <w:lang w:bidi="fa-IR"/>
        </w:rPr>
      </w:pPr>
      <w:r>
        <w:rPr>
          <w:rFonts w:cs="Abz-2 (Badr)" w:hint="cs"/>
          <w:color w:val="0070C0"/>
          <w:sz w:val="28"/>
          <w:szCs w:val="28"/>
          <w:rtl/>
          <w:lang w:bidi="ar"/>
        </w:rPr>
        <w:t>وأمّا الكفّارة الماليّة فقيل: إنّها بحكم الديون فتخرج من أصل التركة. ولكنّ الأظهر أنّها كالكفّارة البدنيّة ولا تخرج من التركة إلا بوصيّة الميّت، ومع وصيّته تخرج من الثلث ويتوقّف إخراجها من الزائد عليه على‌ اجازة الورثة.»</w:t>
      </w:r>
      <w:r>
        <w:rPr>
          <w:rStyle w:val="FootnoteReference"/>
          <w:rFonts w:cs="Abz-2 (Badr)"/>
          <w:color w:val="000000" w:themeColor="text1"/>
          <w:sz w:val="28"/>
          <w:szCs w:val="28"/>
          <w:rtl/>
          <w:lang w:bidi="ar"/>
        </w:rPr>
        <w:footnoteReference w:id="3"/>
      </w:r>
    </w:p>
    <w:p w14:paraId="00E832E4" w14:textId="77777777" w:rsidR="00B62A76" w:rsidRDefault="00B62A76" w:rsidP="00B62A76">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در واقع وجه مدعای کسانی که قائل به وجوب دفع کفارات مالی از اصل ما ترک ميت شده</w:t>
      </w:r>
      <w:r>
        <w:rPr>
          <w:rFonts w:cs="Abz-2 (Badr)" w:hint="cs"/>
          <w:color w:val="000000" w:themeColor="text1"/>
          <w:sz w:val="28"/>
          <w:szCs w:val="28"/>
          <w:rtl/>
          <w:lang w:bidi="fa-IR"/>
        </w:rPr>
        <w:softHyphen/>
        <w:t>اند، اين است که اين کفّارات از اين باب که حقوقی مالی هستند، به ذمه ميّت تعلق گرفته</w:t>
      </w:r>
      <w:r>
        <w:rPr>
          <w:rFonts w:cs="Abz-2 (Badr)" w:hint="cs"/>
          <w:color w:val="000000" w:themeColor="text1"/>
          <w:sz w:val="28"/>
          <w:szCs w:val="28"/>
          <w:rtl/>
          <w:lang w:bidi="fa-IR"/>
        </w:rPr>
        <w:softHyphen/>
        <w:t>اند. اما کسانی که در مقابل قائل به عدم دفع اين کفارات از اصل مال ميت شده</w:t>
      </w:r>
      <w:r>
        <w:rPr>
          <w:rFonts w:cs="Abz-2 (Badr)" w:hint="cs"/>
          <w:color w:val="000000" w:themeColor="text1"/>
          <w:sz w:val="28"/>
          <w:szCs w:val="28"/>
          <w:rtl/>
          <w:lang w:bidi="fa-IR"/>
        </w:rPr>
        <w:softHyphen/>
        <w:t>اند، وجهی برای اين که هر حق مالی که بر عهده مکلف بيايد، سبب شغل ذمه وی شود، نديده</w:t>
      </w:r>
      <w:r>
        <w:rPr>
          <w:rFonts w:cs="Abz-2 (Badr)" w:hint="cs"/>
          <w:color w:val="000000" w:themeColor="text1"/>
          <w:sz w:val="28"/>
          <w:szCs w:val="28"/>
          <w:rtl/>
          <w:lang w:bidi="fa-IR"/>
        </w:rPr>
        <w:softHyphen/>
        <w:t>اند.</w:t>
      </w:r>
    </w:p>
    <w:p w14:paraId="66F51304" w14:textId="77777777" w:rsidR="00B62A76" w:rsidRDefault="00B62A76" w:rsidP="00B62A76">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حق نيز با قائلين به قول دوم است و نظير همين مطلب در ما نحن فيه نيز وجود دارد.</w:t>
      </w:r>
    </w:p>
    <w:p w14:paraId="62E77783" w14:textId="77777777" w:rsidR="00B62A76" w:rsidRDefault="00B62A76" w:rsidP="00B62A76">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بنابر اين صرف اين که زوج نفقه زوجه را پرداخت نکند، سبب شغل ذمه وی نمی</w:t>
      </w:r>
      <w:r>
        <w:rPr>
          <w:rFonts w:cs="Abz-2 (Badr)" w:hint="cs"/>
          <w:color w:val="000000" w:themeColor="text1"/>
          <w:sz w:val="28"/>
          <w:szCs w:val="28"/>
          <w:rtl/>
          <w:lang w:bidi="fa-IR"/>
        </w:rPr>
        <w:softHyphen/>
        <w:t xml:space="preserve">شود، بلکه بايد دليلی برای ملکيت زوجه بر نفقه وجود داشته باشد تا بر اساس آن قائل به شغل ذمه زوج گرديم و اين مطلب همان گونه که گذشت، در </w:t>
      </w:r>
      <w:r>
        <w:rPr>
          <w:rFonts w:cs="Abz-2 (Badr)" w:hint="cs"/>
          <w:color w:val="000000" w:themeColor="text1"/>
          <w:sz w:val="28"/>
          <w:szCs w:val="28"/>
          <w:rtl/>
          <w:lang w:bidi="fa-IR"/>
        </w:rPr>
        <w:lastRenderedPageBreak/>
        <w:t>مطلق نفقه زوجه وجود ندارد، بلکه در برخی از افراد آن موجود است.</w:t>
      </w:r>
    </w:p>
    <w:p w14:paraId="64E0D9F1" w14:textId="77777777" w:rsidR="00B62A76" w:rsidRDefault="00B62A76" w:rsidP="00B62A76">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آنچه که از شهيد ثانی گذشت مبنی بر اين که عدم شغل ذمه در نفقه اقارب به اين جهت است که نفقع اقاب صرفاً برای «سدّ خلّة» است، ظاهر آن اين است که نفقه زوجه در نزد ايشان ـ همان گونه که سابقاً نيز در کلماتشان گذشت ـ از باب عوضيّت و در برابر تمکين است.</w:t>
      </w:r>
    </w:p>
    <w:p w14:paraId="2115EE56" w14:textId="77777777" w:rsidR="00B62A76" w:rsidRDefault="00B62A76" w:rsidP="00B62A76">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و شايد همين امر سبب شده است که اصحاب قائل به تعلق نفقه زوجه به ذمه زوج شوند؛ وگرنه چنانچه بپذيريم که اصل در حقوق مالی شغل ذمه است، نبايد فرقی بين نفقه زوجه و نفقه اقارب وجود داشته باشد، و صرف اين که نفقه اقارب از باب «سدّ خلّة» است، نمی</w:t>
      </w:r>
      <w:r>
        <w:rPr>
          <w:rFonts w:cs="Abz-2 (Badr)" w:hint="cs"/>
          <w:color w:val="000000" w:themeColor="text1"/>
          <w:sz w:val="28"/>
          <w:szCs w:val="28"/>
          <w:rtl/>
          <w:lang w:bidi="fa-IR"/>
        </w:rPr>
        <w:softHyphen/>
        <w:t>تواند مانعی برای تمسّک به اين اصل باشد.</w:t>
      </w:r>
    </w:p>
    <w:p w14:paraId="61650F6A" w14:textId="77777777" w:rsidR="00B62A76" w:rsidRDefault="00B62A76" w:rsidP="00B62A76">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در نتيجه وجهی برای اين که ادعا شود که نفقه زوجه در صورت عدم پرداخت آن تسط زوج، مطلقاً دين بر عهده زوج می</w:t>
      </w:r>
      <w:r>
        <w:rPr>
          <w:rFonts w:cs="Abz-2 (Badr)" w:hint="cs"/>
          <w:color w:val="000000" w:themeColor="text1"/>
          <w:sz w:val="28"/>
          <w:szCs w:val="28"/>
          <w:rtl/>
          <w:lang w:bidi="fa-IR"/>
        </w:rPr>
        <w:softHyphen/>
        <w:t>گردد، وجود نخواهد داشت.</w:t>
      </w:r>
    </w:p>
    <w:p w14:paraId="7D0D3BDB" w14:textId="77777777" w:rsidR="00B62A76" w:rsidRDefault="00B62A76" w:rsidP="00B62A76">
      <w:pPr>
        <w:rPr>
          <w:rFonts w:cs="Abz-2 (Badr)" w:hint="cs"/>
          <w:color w:val="000000" w:themeColor="text1"/>
          <w:sz w:val="28"/>
          <w:szCs w:val="28"/>
          <w:rtl/>
          <w:lang w:bidi="fa-IR"/>
        </w:rPr>
      </w:pPr>
      <w:r>
        <w:rPr>
          <w:rFonts w:cs="Abz-2 (Badr)" w:hint="cs"/>
          <w:color w:val="000000" w:themeColor="text1"/>
          <w:sz w:val="28"/>
          <w:szCs w:val="28"/>
          <w:rtl/>
          <w:lang w:bidi="fa-IR"/>
        </w:rPr>
        <w:br w:type="page"/>
      </w:r>
    </w:p>
    <w:p w14:paraId="7FBE4567" w14:textId="77777777" w:rsidR="00B62A76" w:rsidRDefault="00B62A76" w:rsidP="00B62A76">
      <w:pPr>
        <w:widowControl w:val="0"/>
        <w:bidi/>
        <w:spacing w:after="0" w:line="252" w:lineRule="auto"/>
        <w:ind w:firstLine="284"/>
        <w:jc w:val="both"/>
        <w:rPr>
          <w:rFonts w:cs="Abz-2 (Badr)" w:hint="cs"/>
          <w:color w:val="000000" w:themeColor="text1"/>
          <w:sz w:val="28"/>
          <w:szCs w:val="28"/>
          <w:rtl/>
          <w:lang w:bidi="fa-IR"/>
        </w:rPr>
      </w:pPr>
      <w:r>
        <w:rPr>
          <w:rFonts w:cs="Abz-2 (Badr)" w:hint="cs"/>
          <w:color w:val="000000" w:themeColor="text1"/>
          <w:sz w:val="28"/>
          <w:szCs w:val="28"/>
          <w:rtl/>
        </w:rPr>
        <w:lastRenderedPageBreak/>
        <w:t>قلنا في الجلسة السابقة: إنّه إذا ورد في دليل لزوم دفع عين إلى شخص أو ورد فيه مجرّد جواز الانتفاع بتلك العين لذلك الشخص ولكن كان الانتفاع بها مستلزماً لاستهلاك العين وزوالها، فإنّ العرف يستظهر من ذلك وجوب التمليك، ولا سيّما إذا انضمّ إلى ذلك تجويز التصرّفات المبنيّة على الملك لذلك الشخص.</w:t>
      </w:r>
    </w:p>
    <w:p w14:paraId="41798292" w14:textId="77777777" w:rsidR="00B62A76" w:rsidRDefault="00B62A76" w:rsidP="00B62A76">
      <w:pPr>
        <w:widowControl w:val="0"/>
        <w:bidi/>
        <w:spacing w:after="0" w:line="252" w:lineRule="auto"/>
        <w:ind w:firstLine="284"/>
        <w:jc w:val="both"/>
        <w:rPr>
          <w:rFonts w:cs="Abz-2 (Badr)"/>
          <w:color w:val="000000" w:themeColor="text1"/>
          <w:sz w:val="28"/>
          <w:szCs w:val="28"/>
          <w:lang w:bidi="fa-IR"/>
        </w:rPr>
      </w:pPr>
      <w:r>
        <w:rPr>
          <w:rFonts w:cs="Abz-2 (Badr)" w:hint="cs"/>
          <w:color w:val="000000" w:themeColor="text1"/>
          <w:sz w:val="28"/>
          <w:szCs w:val="28"/>
          <w:rtl/>
        </w:rPr>
        <w:t>وأمّا ما أفاده الشهيد الثاني من أنّ الأصل في الحقوق الماليّة هو اشتغال الذمّة، فليس دعوى مقبولة؛ إذ ليس مجرّد ثبوت حقّ مالي على عهدة شخص مستلزماً لاشتغال ذمّته؛ فمثلاً لو اشترط أحد المتعاقدين في ضمن معاملة أن يقوم الطرف الآخر بعمل له فقبل ذلك، فمع أنّ فعل الحرّ له ماليّة ويمكن عدّه من هذه الجهة التزاماً ماليّاً على المشروط عليه لصالح المشروط له، إلّا أنّه لو امتنع المشروط عليه بعد ذلك عن القيام بذلك العمل، فلا يمكن الحكم باشتغال ذمّته للمشروط له بحيث إنّه لو مات المشروط عليه من دون أن يأتي بذلك الفعل، يحكم بلزوم دفع مقدار قيمة ذلك العمل من تركته إلى المشروط له.</w:t>
      </w:r>
    </w:p>
    <w:p w14:paraId="6D92E225" w14:textId="77777777" w:rsidR="00B62A76" w:rsidRDefault="00B62A76" w:rsidP="00B62A76">
      <w:pPr>
        <w:widowControl w:val="0"/>
        <w:bidi/>
        <w:spacing w:after="0" w:line="252" w:lineRule="auto"/>
        <w:ind w:firstLine="284"/>
        <w:jc w:val="both"/>
        <w:rPr>
          <w:rFonts w:cs="Abz-2 (Badr)"/>
          <w:color w:val="000000" w:themeColor="text1"/>
          <w:sz w:val="28"/>
          <w:szCs w:val="28"/>
        </w:rPr>
      </w:pPr>
      <w:r>
        <w:rPr>
          <w:rFonts w:cs="Abz-2 (Badr)" w:hint="cs"/>
          <w:color w:val="000000" w:themeColor="text1"/>
          <w:sz w:val="28"/>
          <w:szCs w:val="28"/>
          <w:rtl/>
        </w:rPr>
        <w:t>ودليل ذلك هو نفس ما تقدّم سابقاً في بحث المهور من أنّ مجرّد قرار شيء على العهدة غير اشتغال الذمّة، وأنّ التعهّد المالي ما لم يقم دليل على أنّه يوجب اشتغال الذمّة به، لا يعدّ عرفاً موجباً لاشتغالها.</w:t>
      </w:r>
    </w:p>
    <w:p w14:paraId="36FA8DBE" w14:textId="77777777" w:rsidR="00B62A76" w:rsidRDefault="00B62A76" w:rsidP="00B62A76">
      <w:pPr>
        <w:widowControl w:val="0"/>
        <w:bidi/>
        <w:spacing w:after="0" w:line="244" w:lineRule="auto"/>
        <w:ind w:firstLine="284"/>
        <w:jc w:val="both"/>
        <w:rPr>
          <w:rFonts w:cs="Abz-2 (Badr)" w:hint="cs"/>
          <w:color w:val="000000" w:themeColor="text1"/>
          <w:sz w:val="28"/>
          <w:szCs w:val="28"/>
          <w:rtl/>
          <w:lang w:bidi="fa-IR"/>
        </w:rPr>
      </w:pPr>
      <w:r>
        <w:rPr>
          <w:rFonts w:cs="Abz-2 (Badr)" w:hint="cs"/>
          <w:color w:val="000000" w:themeColor="text1"/>
          <w:sz w:val="28"/>
          <w:szCs w:val="28"/>
          <w:rtl/>
        </w:rPr>
        <w:t>نظير هذه المسألة قد تعرّض له الأصحاب في مسائل الكفّارات، وقد أفاد صاحب العروة في هذا الشأن فقال</w:t>
      </w:r>
      <w:r>
        <w:rPr>
          <w:rFonts w:cs="Abz-2 (Badr)" w:hint="cs"/>
          <w:color w:val="000000" w:themeColor="text1"/>
          <w:sz w:val="28"/>
          <w:szCs w:val="28"/>
          <w:rtl/>
          <w:lang w:bidi="fa-IR"/>
        </w:rPr>
        <w:t xml:space="preserve">: </w:t>
      </w:r>
      <w:r>
        <w:rPr>
          <w:rFonts w:cs="Abz-2 (Badr)" w:hint="cs"/>
          <w:color w:val="0070C0"/>
          <w:sz w:val="28"/>
          <w:szCs w:val="28"/>
          <w:rtl/>
          <w:lang w:bidi="fa-IR"/>
        </w:rPr>
        <w:t>«</w:t>
      </w:r>
      <w:r>
        <w:rPr>
          <w:rFonts w:cs="Abz-2 (Badr)" w:hint="cs"/>
          <w:color w:val="0070C0"/>
          <w:sz w:val="28"/>
          <w:szCs w:val="28"/>
          <w:rtl/>
          <w:lang w:bidi="ar"/>
        </w:rPr>
        <w:t>يجب على من عليه واجب من الصلاة أو الصيام أو غيرهما من الواجبات أن يوصي به، خصوصاً مثل الزكاة والخمس والمظالم والكفّارات من الواجبات الماليّة، ويجب على الوصيّ إخراجها من أصل التركة في الواجبات الماليّة، ومنها الحجّ‌ الواجب ولو بنذر ونحوه، بل وجوب إخراج الصوم والصلاة من الواجبات البدنيّة أيضاً من الأصل لا يخلو عن قوّة، لأنّها دين الله ودين الله أحقّ‌ أن يقضى.»</w:t>
      </w:r>
      <w:r>
        <w:rPr>
          <w:rStyle w:val="FootnoteReference"/>
          <w:rFonts w:cs="Abz-2 (Badr)"/>
          <w:color w:val="000000" w:themeColor="text1"/>
          <w:sz w:val="28"/>
          <w:szCs w:val="28"/>
          <w:rtl/>
          <w:lang w:bidi="ar"/>
        </w:rPr>
        <w:footnoteReference w:id="4"/>
      </w:r>
    </w:p>
    <w:p w14:paraId="451C85DE" w14:textId="77777777" w:rsidR="00B62A76" w:rsidRDefault="00B62A76" w:rsidP="00B62A76">
      <w:pPr>
        <w:widowControl w:val="0"/>
        <w:bidi/>
        <w:spacing w:after="0" w:line="244" w:lineRule="auto"/>
        <w:ind w:firstLine="284"/>
        <w:jc w:val="both"/>
        <w:rPr>
          <w:rFonts w:cs="Abz-2 (Badr)" w:hint="cs"/>
          <w:color w:val="0070C0"/>
          <w:sz w:val="28"/>
          <w:szCs w:val="28"/>
          <w:rtl/>
          <w:lang w:bidi="ar"/>
        </w:rPr>
      </w:pPr>
      <w:r>
        <w:rPr>
          <w:rFonts w:cs="Abz-2 (Badr)" w:hint="cs"/>
          <w:color w:val="000000" w:themeColor="text1"/>
          <w:sz w:val="28"/>
          <w:szCs w:val="28"/>
          <w:rtl/>
        </w:rPr>
        <w:t>إلا أنّ السيّد الخوئي اعترض عليه دعواه في خصوص الکفّارات حيث قال:</w:t>
      </w:r>
      <w:r>
        <w:rPr>
          <w:rFonts w:cs="Abz-2 (Badr)" w:hint="cs"/>
          <w:color w:val="000000" w:themeColor="text1"/>
          <w:sz w:val="28"/>
          <w:szCs w:val="28"/>
          <w:rtl/>
          <w:lang w:bidi="fa-IR"/>
        </w:rPr>
        <w:t xml:space="preserve"> </w:t>
      </w:r>
      <w:r>
        <w:rPr>
          <w:rFonts w:cs="Abz-2 (Badr)" w:hint="cs"/>
          <w:color w:val="0070C0"/>
          <w:sz w:val="28"/>
          <w:szCs w:val="28"/>
          <w:rtl/>
          <w:lang w:bidi="fa-IR"/>
        </w:rPr>
        <w:t>«</w:t>
      </w:r>
      <w:r>
        <w:rPr>
          <w:rFonts w:cs="Abz-2 (Badr)" w:hint="cs"/>
          <w:color w:val="0070C0"/>
          <w:sz w:val="28"/>
          <w:szCs w:val="28"/>
          <w:rtl/>
          <w:lang w:bidi="ar"/>
        </w:rPr>
        <w:t>في خروجها عن أصل التركة إشكال بل منع...»</w:t>
      </w:r>
      <w:r>
        <w:rPr>
          <w:rStyle w:val="FootnoteReference"/>
          <w:rFonts w:cs="Abz-2 (Badr)"/>
          <w:color w:val="000000" w:themeColor="text1"/>
          <w:sz w:val="28"/>
          <w:szCs w:val="28"/>
          <w:rtl/>
          <w:lang w:bidi="ar"/>
        </w:rPr>
        <w:footnoteReference w:id="5"/>
      </w:r>
    </w:p>
    <w:p w14:paraId="7248794D" w14:textId="77777777" w:rsidR="00B62A76" w:rsidRDefault="00B62A76" w:rsidP="00B62A76">
      <w:pPr>
        <w:widowControl w:val="0"/>
        <w:bidi/>
        <w:spacing w:after="0" w:line="244" w:lineRule="auto"/>
        <w:ind w:firstLine="284"/>
        <w:jc w:val="both"/>
        <w:rPr>
          <w:rFonts w:cs="Abz-2 (Badr)" w:hint="cs"/>
          <w:color w:val="0070C0"/>
          <w:sz w:val="28"/>
          <w:szCs w:val="28"/>
          <w:rtl/>
          <w:lang w:bidi="ar"/>
        </w:rPr>
      </w:pPr>
      <w:r>
        <w:rPr>
          <w:rFonts w:cs="Abz-2 (Badr)" w:hint="cs"/>
          <w:color w:val="000000" w:themeColor="text1"/>
          <w:sz w:val="28"/>
          <w:szCs w:val="28"/>
          <w:rtl/>
          <w:lang w:bidi="ar"/>
        </w:rPr>
        <w:t xml:space="preserve">وقال السيّد السيستاني في هذا المجال: </w:t>
      </w:r>
      <w:r>
        <w:rPr>
          <w:rFonts w:cs="Abz-2 (Badr)" w:hint="cs"/>
          <w:color w:val="0070C0"/>
          <w:sz w:val="28"/>
          <w:szCs w:val="28"/>
          <w:rtl/>
          <w:lang w:bidi="ar"/>
        </w:rPr>
        <w:t xml:space="preserve">«لا يجب على‌ الورثة أداء ما وجب على‌ ميّتهم من الكفّارة البدنيّة ـ أي: الصيام </w:t>
      </w:r>
      <w:r>
        <w:rPr>
          <w:rFonts w:cs="Abz-2 (Badr)" w:hint="cs"/>
          <w:color w:val="0070C0"/>
          <w:sz w:val="28"/>
          <w:szCs w:val="28"/>
          <w:rtl/>
          <w:lang w:bidi="ar"/>
        </w:rPr>
        <w:lastRenderedPageBreak/>
        <w:t>ـ ولا إخراجها من تركته ما لم يوص بها. وإن أوصى‌ بها أُخرجت من ثلثه.</w:t>
      </w:r>
    </w:p>
    <w:p w14:paraId="61626F23" w14:textId="77777777" w:rsidR="00B62A76" w:rsidRDefault="00B62A76" w:rsidP="00B62A76">
      <w:pPr>
        <w:widowControl w:val="0"/>
        <w:bidi/>
        <w:spacing w:after="0" w:line="252" w:lineRule="auto"/>
        <w:ind w:firstLine="284"/>
        <w:jc w:val="both"/>
        <w:rPr>
          <w:rFonts w:cs="Abz-2 (Badr)" w:hint="cs"/>
          <w:color w:val="0070C0"/>
          <w:sz w:val="28"/>
          <w:szCs w:val="28"/>
          <w:rtl/>
          <w:lang w:bidi="ar"/>
        </w:rPr>
      </w:pPr>
      <w:r>
        <w:rPr>
          <w:rFonts w:cs="Abz-2 (Badr)" w:hint="cs"/>
          <w:color w:val="0070C0"/>
          <w:sz w:val="28"/>
          <w:szCs w:val="28"/>
          <w:rtl/>
          <w:lang w:bidi="ar"/>
        </w:rPr>
        <w:t>نعم، يحتمل وجوبها على‌ ولده الأكبر إن كان ولكنّ الأظهر عدمه. وإنّما يجري هذا الاحتمال فيما إذا تعيّن على الميّت الصيام، وأمّا مع عدم تعيّنه عليه ـ كما إذا كانت الكفّارة مخيّرة وكان متمكّناً من الصيام والإطعام ـ فإنّه لا يجب الصوم على‌ الولي بلا اشكال.</w:t>
      </w:r>
    </w:p>
    <w:p w14:paraId="184E8EC6" w14:textId="77777777" w:rsidR="00B62A76" w:rsidRDefault="00B62A76" w:rsidP="00B62A76">
      <w:pPr>
        <w:widowControl w:val="0"/>
        <w:bidi/>
        <w:spacing w:after="0" w:line="252" w:lineRule="auto"/>
        <w:ind w:firstLine="284"/>
        <w:jc w:val="both"/>
        <w:rPr>
          <w:rFonts w:cs="Abz-2 (Badr)" w:hint="cs"/>
          <w:color w:val="0070C0"/>
          <w:sz w:val="28"/>
          <w:szCs w:val="28"/>
          <w:rtl/>
          <w:lang w:bidi="fa-IR"/>
        </w:rPr>
      </w:pPr>
      <w:r>
        <w:rPr>
          <w:rFonts w:cs="Abz-2 (Badr)" w:hint="cs"/>
          <w:color w:val="0070C0"/>
          <w:sz w:val="28"/>
          <w:szCs w:val="28"/>
          <w:rtl/>
          <w:lang w:bidi="ar"/>
        </w:rPr>
        <w:t>وأمّا الكفّارة الماليّة فقيل: إنّها بحكم الديون فتخرج من أصل التركة. ولكنّ الأظهر أنّها كالكفّارة البدنيّة ولا تخرج من التركة إلا بوصيّة الميّت، ومع وصيّته تخرج من الثلث ويتوقّف إخراجها من الزائد عليه على‌ اجازة الورثة.»</w:t>
      </w:r>
      <w:r>
        <w:rPr>
          <w:rStyle w:val="FootnoteReference"/>
          <w:rFonts w:cs="Abz-2 (Badr)"/>
          <w:color w:val="000000" w:themeColor="text1"/>
          <w:sz w:val="28"/>
          <w:szCs w:val="28"/>
          <w:rtl/>
          <w:lang w:bidi="ar"/>
        </w:rPr>
        <w:footnoteReference w:id="6"/>
      </w:r>
    </w:p>
    <w:p w14:paraId="18C7FB7A" w14:textId="77777777" w:rsidR="00B62A76" w:rsidRDefault="00B62A76" w:rsidP="00B62A76">
      <w:pPr>
        <w:widowControl w:val="0"/>
        <w:bidi/>
        <w:spacing w:after="0" w:line="252" w:lineRule="auto"/>
        <w:ind w:firstLine="284"/>
        <w:jc w:val="both"/>
        <w:rPr>
          <w:rFonts w:cs="Abz-2 (Badr)" w:hint="cs"/>
          <w:color w:val="000000" w:themeColor="text1"/>
          <w:sz w:val="28"/>
          <w:szCs w:val="28"/>
          <w:rtl/>
          <w:lang w:bidi="fa-IR"/>
        </w:rPr>
      </w:pPr>
      <w:r>
        <w:rPr>
          <w:rFonts w:cs="Abz-2 (Badr)" w:hint="cs"/>
          <w:b/>
          <w:bCs/>
          <w:color w:val="000000" w:themeColor="text1"/>
          <w:sz w:val="28"/>
          <w:szCs w:val="28"/>
          <w:rtl/>
        </w:rPr>
        <w:t>أقول:</w:t>
      </w:r>
      <w:r>
        <w:rPr>
          <w:rFonts w:cs="Abz-2 (Badr)" w:hint="cs"/>
          <w:color w:val="000000" w:themeColor="text1"/>
          <w:sz w:val="28"/>
          <w:szCs w:val="28"/>
          <w:rtl/>
        </w:rPr>
        <w:t xml:space="preserve"> إنّ وجه دعوى القائلين بوجوب دفع الكفّارات الماليّة من أصل تركة الميّت هو أنّ هذه الكفّارات ـ من حيث كونها حقوقاً ماليّة ـ قد تعلّقت بذمّة الميّت. وأمّا القائلون في المقابل بعدم وجوب دفعها من أصل مال الميّت، فلم يروا وجهاً لكون كلّ حقّ مالي يثبت على عهدة المكلّف موجباً لاشتغال ذمّته.</w:t>
      </w:r>
    </w:p>
    <w:p w14:paraId="4B073DFA" w14:textId="77777777" w:rsidR="00B62A76" w:rsidRDefault="00B62A76" w:rsidP="00B62A76">
      <w:pPr>
        <w:widowControl w:val="0"/>
        <w:bidi/>
        <w:spacing w:after="0" w:line="252" w:lineRule="auto"/>
        <w:ind w:firstLine="284"/>
        <w:jc w:val="both"/>
        <w:rPr>
          <w:rFonts w:cs="Abz-2 (Badr)"/>
          <w:color w:val="000000" w:themeColor="text1"/>
          <w:sz w:val="28"/>
          <w:szCs w:val="28"/>
        </w:rPr>
      </w:pPr>
      <w:r>
        <w:rPr>
          <w:rFonts w:cs="Abz-2 (Badr)" w:hint="cs"/>
          <w:color w:val="000000" w:themeColor="text1"/>
          <w:sz w:val="28"/>
          <w:szCs w:val="28"/>
          <w:rtl/>
        </w:rPr>
        <w:t>والحقّ مع القائلين بالقول الثاني، ونظير هذا المعنى جارٍ في ما نحن فيه أيضاً.</w:t>
      </w:r>
    </w:p>
    <w:p w14:paraId="6FE184AC" w14:textId="77777777" w:rsidR="00B62A76" w:rsidRDefault="00B62A76" w:rsidP="00B62A76">
      <w:pPr>
        <w:widowControl w:val="0"/>
        <w:bidi/>
        <w:spacing w:after="0" w:line="252" w:lineRule="auto"/>
        <w:ind w:firstLine="284"/>
        <w:jc w:val="both"/>
        <w:rPr>
          <w:rFonts w:cs="Abz-2 (Badr)" w:hint="cs"/>
          <w:color w:val="000000" w:themeColor="text1"/>
          <w:sz w:val="28"/>
          <w:szCs w:val="28"/>
          <w:rtl/>
        </w:rPr>
      </w:pPr>
      <w:r>
        <w:rPr>
          <w:rFonts w:cs="Abz-2 (Badr)" w:hint="cs"/>
          <w:color w:val="000000" w:themeColor="text1"/>
          <w:sz w:val="28"/>
          <w:szCs w:val="28"/>
          <w:rtl/>
        </w:rPr>
        <w:t>وعليه فمجرّد عدم دفع الزوج نفقة الزوجة لا يوجب اشتغال ذمّته، بل لابدّ من قيام دليل على ثبوت ملكيّة الزوجة للنفقة لكي يحكم على أساسه باشتغال ذمّة الزوج. وهذا الأمر ـ كما تقدّم ـ غير ثابت في مطلق نفقة الزوجة، وإنّما يثبت في بعض أفرادها.</w:t>
      </w:r>
    </w:p>
    <w:p w14:paraId="39ABA70E" w14:textId="77777777" w:rsidR="00B62A76" w:rsidRDefault="00B62A76" w:rsidP="00B62A76">
      <w:pPr>
        <w:widowControl w:val="0"/>
        <w:bidi/>
        <w:spacing w:after="0" w:line="252" w:lineRule="auto"/>
        <w:ind w:firstLine="284"/>
        <w:jc w:val="both"/>
        <w:rPr>
          <w:rFonts w:cs="Abz-2 (Badr)"/>
          <w:color w:val="000000" w:themeColor="text1"/>
          <w:sz w:val="28"/>
          <w:szCs w:val="28"/>
        </w:rPr>
      </w:pPr>
      <w:r>
        <w:rPr>
          <w:rFonts w:cs="Abz-2 (Badr)" w:hint="cs"/>
          <w:color w:val="000000" w:themeColor="text1"/>
          <w:sz w:val="28"/>
          <w:szCs w:val="28"/>
          <w:rtl/>
        </w:rPr>
        <w:t>وأمّا ما تقدّم عن الشهيد الثاني من أنّ عدم اشتغال الذمّة في نفقة الأقارب إنّما هو لأنّ نفقتهم تكون لأجل «سدّ الخلّة» فحسب، فظاهره أنّ نفقة الزوجة عنده ـ كما تقدّم أيضاً في كلماته ـ من باب المعاوضة وفي مقابل التمكين. ولعلّ هذا هو الذي دعا الأصحاب إلى القول بتعلّق نفقة الزوجة بذمّة الزوج، وإلّا فلو سلّمنا أنّ الأصل في الحقوق الماليّة هو اشتغال الذمّة، لما كان وجه للتفريق بين نفقة الزوجة ونفقة الأقارب، ومجرّد كون نفقة الأقارب من باب «سدّ الخلّة» لا يصلح مانعاً عن التمسّك بهذا الأصل.</w:t>
      </w:r>
    </w:p>
    <w:p w14:paraId="0934A592" w14:textId="77777777" w:rsidR="00B62A76" w:rsidRDefault="00B62A76" w:rsidP="00B62A76">
      <w:pPr>
        <w:widowControl w:val="0"/>
        <w:bidi/>
        <w:spacing w:after="0" w:line="252" w:lineRule="auto"/>
        <w:ind w:firstLine="284"/>
        <w:jc w:val="both"/>
        <w:rPr>
          <w:rFonts w:cs="Abz-2 (Badr)"/>
          <w:color w:val="000000" w:themeColor="text1"/>
          <w:sz w:val="28"/>
          <w:szCs w:val="28"/>
          <w:lang w:bidi="fa-IR"/>
        </w:rPr>
      </w:pPr>
      <w:r>
        <w:rPr>
          <w:rFonts w:cs="Abz-2 (Badr)" w:hint="cs"/>
          <w:color w:val="000000" w:themeColor="text1"/>
          <w:sz w:val="28"/>
          <w:szCs w:val="28"/>
          <w:rtl/>
        </w:rPr>
        <w:t xml:space="preserve">وعلى هذا فلا وجه للدعوى بأنّ نفقة الزوجة عند عدم دفعها من قبل الزوج تصير ديناً في ذمّته مطلقاً ما لم يقم </w:t>
      </w:r>
      <w:r>
        <w:rPr>
          <w:rFonts w:cs="Abz-2 (Badr)" w:hint="cs"/>
          <w:color w:val="000000" w:themeColor="text1"/>
          <w:sz w:val="28"/>
          <w:szCs w:val="28"/>
          <w:rtl/>
          <w:lang w:bidi="fa-IR"/>
        </w:rPr>
        <w:t xml:space="preserve">دليل </w:t>
      </w:r>
      <w:r>
        <w:rPr>
          <w:rFonts w:cs="Abz-2 (Badr)" w:hint="cs"/>
          <w:color w:val="000000" w:themeColor="text1"/>
          <w:sz w:val="28"/>
          <w:szCs w:val="28"/>
          <w:rtl/>
          <w:lang w:bidi="fa-IR"/>
        </w:rPr>
        <w:lastRenderedPageBreak/>
        <w:t>علی کونها ملکاً لها.</w:t>
      </w:r>
      <w:bookmarkEnd w:id="1"/>
      <w:bookmarkEnd w:id="2"/>
    </w:p>
    <w:p w14:paraId="2AD04477" w14:textId="7D63A4A4" w:rsidR="00B706A3" w:rsidRPr="00B62A76" w:rsidRDefault="00B706A3" w:rsidP="00B62A76">
      <w:pPr>
        <w:rPr>
          <w:rtl/>
        </w:rPr>
      </w:pPr>
    </w:p>
    <w:sectPr w:rsidR="00B706A3" w:rsidRPr="00B62A76"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7F90B" w14:textId="77777777" w:rsidR="004531D6" w:rsidRDefault="004531D6" w:rsidP="00F71127">
      <w:pPr>
        <w:spacing w:after="0" w:line="240" w:lineRule="auto"/>
      </w:pPr>
      <w:r>
        <w:separator/>
      </w:r>
    </w:p>
  </w:endnote>
  <w:endnote w:type="continuationSeparator" w:id="0">
    <w:p w14:paraId="212D4A34" w14:textId="77777777" w:rsidR="004531D6" w:rsidRDefault="004531D6"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917CE" w14:textId="77777777" w:rsidR="00B62A76" w:rsidRDefault="00B62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57F83" w14:textId="77777777" w:rsidR="00B62A76" w:rsidRDefault="00B62A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6E786" w14:textId="77777777" w:rsidR="004531D6" w:rsidRDefault="004531D6" w:rsidP="00EE25C0">
      <w:pPr>
        <w:bidi/>
        <w:spacing w:after="0" w:line="240" w:lineRule="auto"/>
      </w:pPr>
      <w:r>
        <w:separator/>
      </w:r>
    </w:p>
  </w:footnote>
  <w:footnote w:type="continuationSeparator" w:id="0">
    <w:p w14:paraId="2BDEC5AC" w14:textId="77777777" w:rsidR="004531D6" w:rsidRDefault="004531D6" w:rsidP="00F71127">
      <w:pPr>
        <w:bidi/>
        <w:spacing w:after="0" w:line="240" w:lineRule="auto"/>
      </w:pPr>
      <w:r>
        <w:continuationSeparator/>
      </w:r>
    </w:p>
  </w:footnote>
  <w:footnote w:id="1">
    <w:p w14:paraId="43C09194" w14:textId="77777777" w:rsidR="00B62A76" w:rsidRDefault="00B62A76" w:rsidP="00B62A76">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العروة الوثقی</w:t>
      </w:r>
      <w:r>
        <w:rPr>
          <w:rFonts w:cs="Abz-2 (Badr)" w:hint="cs"/>
          <w:rtl/>
          <w:lang w:bidi="fa-IR"/>
        </w:rPr>
        <w:t>،ج3،ص80 و 81، مسألة 3.</w:t>
      </w:r>
    </w:p>
  </w:footnote>
  <w:footnote w:id="2">
    <w:p w14:paraId="4D9DB5CE" w14:textId="77777777" w:rsidR="00B62A76" w:rsidRDefault="00B62A76" w:rsidP="00B62A76">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همان،ص80</w:t>
      </w:r>
      <w:r>
        <w:rPr>
          <w:rFonts w:cs="Abz-2 (Badr)" w:hint="cs"/>
          <w:rtl/>
          <w:lang w:bidi="fa-IR"/>
        </w:rPr>
        <w:t>.</w:t>
      </w:r>
    </w:p>
  </w:footnote>
  <w:footnote w:id="3">
    <w:p w14:paraId="36546DEA" w14:textId="77777777" w:rsidR="00B62A76" w:rsidRDefault="00B62A76" w:rsidP="00B62A76">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منهاج الصالحين،ج3،ص255، مسأله 784</w:t>
      </w:r>
      <w:r>
        <w:rPr>
          <w:rFonts w:cs="Abz-2 (Badr)" w:hint="cs"/>
          <w:rtl/>
          <w:lang w:bidi="fa-IR"/>
        </w:rPr>
        <w:t>.</w:t>
      </w:r>
    </w:p>
  </w:footnote>
  <w:footnote w:id="4">
    <w:p w14:paraId="600967D2" w14:textId="77777777" w:rsidR="00B62A76" w:rsidRDefault="00B62A76" w:rsidP="00B62A76">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العروة الوثقی</w:t>
      </w:r>
      <w:r>
        <w:rPr>
          <w:rFonts w:cs="Abz-2 (Badr)" w:hint="cs"/>
          <w:rtl/>
          <w:lang w:bidi="fa-IR"/>
        </w:rPr>
        <w:t>،ج3،ص80 و 81، مسألة 3.</w:t>
      </w:r>
    </w:p>
  </w:footnote>
  <w:footnote w:id="5">
    <w:p w14:paraId="63E0DDDF" w14:textId="77777777" w:rsidR="00B62A76" w:rsidRDefault="00B62A76" w:rsidP="00B62A76">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المصدر نفسه،ص80</w:t>
      </w:r>
      <w:r>
        <w:rPr>
          <w:rFonts w:cs="Abz-2 (Badr)" w:hint="cs"/>
          <w:rtl/>
          <w:lang w:bidi="fa-IR"/>
        </w:rPr>
        <w:t>.</w:t>
      </w:r>
    </w:p>
  </w:footnote>
  <w:footnote w:id="6">
    <w:p w14:paraId="44AC9425" w14:textId="77777777" w:rsidR="00B62A76" w:rsidRDefault="00B62A76" w:rsidP="00B62A76">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منهاج الصالحين،ج3،ص255، مسأله 784</w:t>
      </w:r>
      <w:r>
        <w:rPr>
          <w:rFonts w:cs="Abz-2 (Badr)" w:hint="cs"/>
          <w:rtl/>
          <w:lang w:bidi="fa-I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8C0DA" w14:textId="77777777" w:rsidR="00B62A76" w:rsidRDefault="00B62A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1E774CBA"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B62A76">
                            <w:rPr>
                              <w:rFonts w:cs="B Mehr" w:hint="cs"/>
                              <w:rtl/>
                              <w:lang w:bidi="fa-IR"/>
                            </w:rPr>
                            <w:t>29</w:t>
                          </w:r>
                          <w:r>
                            <w:rPr>
                              <w:rFonts w:cs="B Mehr" w:hint="cs"/>
                              <w:rtl/>
                              <w:lang w:bidi="fa-IR"/>
                            </w:rPr>
                            <w:t xml:space="preserve">   آذر</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1E774CBA"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Pr>
                        <w:rFonts w:cs="B Mehr" w:hint="cs"/>
                        <w:rtl/>
                        <w:lang w:bidi="fa-IR"/>
                      </w:rPr>
                      <w:t>شنبه</w:t>
                    </w:r>
                    <w:r>
                      <w:rPr>
                        <w:rFonts w:cs="B Mehr" w:hint="cs"/>
                        <w:lang w:bidi="fa-IR"/>
                      </w:rPr>
                      <w:t xml:space="preserve"> </w:t>
                    </w:r>
                    <w:r>
                      <w:rPr>
                        <w:rFonts w:cs="B Mehr" w:hint="cs"/>
                        <w:rtl/>
                        <w:lang w:bidi="fa-IR"/>
                      </w:rPr>
                      <w:t xml:space="preserve"> </w:t>
                    </w:r>
                    <w:r>
                      <w:rPr>
                        <w:rFonts w:cs="B Mehr" w:hint="cs"/>
                        <w:rtl/>
                      </w:rPr>
                      <w:t xml:space="preserve">،    </w:t>
                    </w:r>
                    <w:r>
                      <w:rPr>
                        <w:rFonts w:cs="B Mehr" w:hint="cs"/>
                      </w:rPr>
                      <w:t xml:space="preserve"> </w:t>
                    </w:r>
                    <w:r w:rsidR="00B62A76">
                      <w:rPr>
                        <w:rFonts w:cs="B Mehr" w:hint="cs"/>
                        <w:rtl/>
                        <w:lang w:bidi="fa-IR"/>
                      </w:rPr>
                      <w:t>29</w:t>
                    </w:r>
                    <w:r>
                      <w:rPr>
                        <w:rFonts w:cs="B Mehr" w:hint="cs"/>
                        <w:rtl/>
                        <w:lang w:bidi="fa-IR"/>
                      </w:rPr>
                      <w:t xml:space="preserve">   آذر</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DBF71" w14:textId="77777777" w:rsidR="00B62A76" w:rsidRDefault="00B62A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B7"/>
    <w:rsid w:val="00BD5502"/>
    <w:rsid w:val="00BD58AC"/>
    <w:rsid w:val="00BD610A"/>
    <w:rsid w:val="00BD644D"/>
    <w:rsid w:val="00BD64BC"/>
    <w:rsid w:val="00BD6EF3"/>
    <w:rsid w:val="00BE0CFA"/>
    <w:rsid w:val="00BE25C0"/>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A0F69"/>
    <w:rsid w:val="00EA1232"/>
    <w:rsid w:val="00EA1AB3"/>
    <w:rsid w:val="00EA1B9E"/>
    <w:rsid w:val="00EA1E86"/>
    <w:rsid w:val="00EA1ECD"/>
    <w:rsid w:val="00EA2B3F"/>
    <w:rsid w:val="00EA2C32"/>
    <w:rsid w:val="00EA2CC7"/>
    <w:rsid w:val="00EA2DC4"/>
    <w:rsid w:val="00EA318C"/>
    <w:rsid w:val="00EA35EC"/>
    <w:rsid w:val="00EA36CE"/>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21733</TotalTime>
  <Pages>1</Pages>
  <Words>1089</Words>
  <Characters>6208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697</cp:revision>
  <cp:lastPrinted>2025-04-14T09:12:00Z</cp:lastPrinted>
  <dcterms:created xsi:type="dcterms:W3CDTF">2022-10-16T08:36:00Z</dcterms:created>
  <dcterms:modified xsi:type="dcterms:W3CDTF">2025-12-20T08:07:00Z</dcterms:modified>
</cp:coreProperties>
</file>