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7EF1F" w14:textId="77777777" w:rsidR="00985872" w:rsidRPr="00652E92" w:rsidRDefault="00985872" w:rsidP="00985872">
      <w:pPr>
        <w:widowControl w:val="0"/>
        <w:bidi/>
        <w:spacing w:after="0"/>
        <w:jc w:val="center"/>
        <w:rPr>
          <w:rFonts w:cs="QuranTaha"/>
          <w:sz w:val="28"/>
          <w:szCs w:val="28"/>
          <w:rtl/>
          <w:lang w:bidi="fa-IR"/>
        </w:rPr>
      </w:pPr>
      <w:r w:rsidRPr="00652E92">
        <w:rPr>
          <w:rFonts w:cs="QuranTaha"/>
          <w:sz w:val="28"/>
          <w:szCs w:val="28"/>
          <w:rtl/>
          <w:lang w:bidi="fa-IR"/>
        </w:rPr>
        <w:t>بسم الله الرحم</w:t>
      </w:r>
      <w:r w:rsidRPr="00652E92">
        <w:rPr>
          <w:rFonts w:ascii="Times New Roman" w:hAnsi="Times New Roman" w:cs="QuranTaha" w:hint="cs"/>
          <w:sz w:val="28"/>
          <w:szCs w:val="28"/>
          <w:rtl/>
          <w:lang w:bidi="fa-IR"/>
        </w:rPr>
        <w:t>ٰ</w:t>
      </w:r>
      <w:r w:rsidRPr="00652E92">
        <w:rPr>
          <w:rFonts w:cs="QuranTaha" w:hint="cs"/>
          <w:sz w:val="28"/>
          <w:szCs w:val="28"/>
          <w:rtl/>
          <w:lang w:bidi="fa-IR"/>
        </w:rPr>
        <w:t>ن</w:t>
      </w:r>
      <w:r w:rsidRPr="00652E92">
        <w:rPr>
          <w:rFonts w:cs="QuranTaha"/>
          <w:sz w:val="28"/>
          <w:szCs w:val="28"/>
          <w:rtl/>
          <w:lang w:bidi="fa-IR"/>
        </w:rPr>
        <w:t xml:space="preserve"> </w:t>
      </w:r>
      <w:r w:rsidRPr="00652E92">
        <w:rPr>
          <w:rFonts w:cs="QuranTaha" w:hint="cs"/>
          <w:sz w:val="28"/>
          <w:szCs w:val="28"/>
          <w:rtl/>
          <w:lang w:bidi="fa-IR"/>
        </w:rPr>
        <w:t>الرحيم</w:t>
      </w:r>
    </w:p>
    <w:p w14:paraId="2CBD4836" w14:textId="77777777" w:rsidR="00985872" w:rsidRPr="00652E92" w:rsidRDefault="00985872" w:rsidP="00985872">
      <w:pPr>
        <w:widowControl w:val="0"/>
        <w:bidi/>
        <w:spacing w:after="0"/>
        <w:jc w:val="center"/>
        <w:rPr>
          <w:rFonts w:cs="B Mitra"/>
          <w:b/>
          <w:bCs/>
          <w:sz w:val="32"/>
          <w:szCs w:val="32"/>
          <w:rtl/>
          <w:lang w:bidi="fa-IR"/>
        </w:rPr>
      </w:pPr>
      <w:r w:rsidRPr="00652E92">
        <w:rPr>
          <w:rFonts w:cs="B Mitra" w:hint="cs"/>
          <w:b/>
          <w:bCs/>
          <w:sz w:val="32"/>
          <w:szCs w:val="32"/>
          <w:rtl/>
          <w:lang w:bidi="fa-IR"/>
        </w:rPr>
        <w:t>تقریر بحث فقه</w:t>
      </w:r>
    </w:p>
    <w:p w14:paraId="7488122F" w14:textId="77777777" w:rsidR="00985872" w:rsidRPr="00652E92" w:rsidRDefault="00985872" w:rsidP="00985872">
      <w:pPr>
        <w:widowControl w:val="0"/>
        <w:bidi/>
        <w:spacing w:after="0"/>
        <w:jc w:val="center"/>
        <w:rPr>
          <w:rFonts w:cs="B Mitra"/>
          <w:b/>
          <w:bCs/>
          <w:sz w:val="32"/>
          <w:szCs w:val="32"/>
          <w:rtl/>
          <w:lang w:bidi="fa-IR"/>
        </w:rPr>
      </w:pPr>
      <w:r w:rsidRPr="00652E92">
        <w:rPr>
          <w:rFonts w:cs="B Mitra" w:hint="cs"/>
          <w:b/>
          <w:bCs/>
          <w:sz w:val="32"/>
          <w:szCs w:val="32"/>
          <w:rtl/>
          <w:lang w:bidi="fa-IR"/>
        </w:rPr>
        <w:t xml:space="preserve">جلسه </w:t>
      </w:r>
      <w:r>
        <w:rPr>
          <w:rFonts w:cs="B Mitra" w:hint="cs"/>
          <w:b/>
          <w:bCs/>
          <w:sz w:val="32"/>
          <w:szCs w:val="32"/>
          <w:rtl/>
          <w:lang w:bidi="fa-IR"/>
        </w:rPr>
        <w:t>889</w:t>
      </w:r>
    </w:p>
    <w:p w14:paraId="232E9BB9" w14:textId="77777777" w:rsidR="00985872" w:rsidRDefault="00985872" w:rsidP="00985872">
      <w:pPr>
        <w:widowControl w:val="0"/>
        <w:bidi/>
        <w:spacing w:after="0"/>
        <w:ind w:firstLine="284"/>
        <w:jc w:val="both"/>
        <w:rPr>
          <w:rFonts w:cs="Abz-2 (Badr)"/>
          <w:color w:val="000000" w:themeColor="text1"/>
          <w:sz w:val="28"/>
          <w:szCs w:val="28"/>
          <w:rtl/>
          <w:lang w:bidi="fa-IR"/>
        </w:rPr>
      </w:pPr>
      <w:bookmarkStart w:id="0" w:name="_Hlk159096966"/>
    </w:p>
    <w:p w14:paraId="4E18CB6B" w14:textId="77777777" w:rsidR="00985872" w:rsidRPr="007306CB" w:rsidRDefault="00985872" w:rsidP="00985872">
      <w:pPr>
        <w:widowControl w:val="0"/>
        <w:bidi/>
        <w:spacing w:after="0" w:line="254" w:lineRule="auto"/>
        <w:ind w:firstLine="284"/>
        <w:jc w:val="both"/>
        <w:rPr>
          <w:rFonts w:cs="Abz-2 (Badr)"/>
          <w:color w:val="0070C0"/>
          <w:sz w:val="28"/>
          <w:szCs w:val="28"/>
          <w:rtl/>
          <w:lang w:bidi="ar"/>
        </w:rPr>
      </w:pPr>
      <w:bookmarkStart w:id="1" w:name="_Hlk216519522"/>
      <w:bookmarkEnd w:id="0"/>
      <w:r>
        <w:rPr>
          <w:rFonts w:cs="Abz-2 (Badr)" w:hint="cs"/>
          <w:color w:val="000000" w:themeColor="text1"/>
          <w:sz w:val="28"/>
          <w:szCs w:val="28"/>
          <w:rtl/>
          <w:lang w:bidi="fa-IR"/>
        </w:rPr>
        <w:t>مرحوم امام در اشکال بر عدم جواز اباحه مطلق تصرفات مالکانه بدون تمليک عين بدون وجود دليل شرعی در خصوص مورد می</w:t>
      </w:r>
      <w:r>
        <w:rPr>
          <w:rFonts w:cs="Abz-2 (Badr)"/>
          <w:color w:val="000000" w:themeColor="text1"/>
          <w:sz w:val="28"/>
          <w:szCs w:val="28"/>
          <w:rtl/>
          <w:lang w:bidi="fa-IR"/>
        </w:rPr>
        <w:softHyphen/>
      </w:r>
      <w:r>
        <w:rPr>
          <w:rFonts w:cs="Abz-2 (Badr)" w:hint="cs"/>
          <w:color w:val="000000" w:themeColor="text1"/>
          <w:sz w:val="28"/>
          <w:szCs w:val="28"/>
          <w:rtl/>
          <w:lang w:bidi="fa-IR"/>
        </w:rPr>
        <w:t xml:space="preserve">فرمايد: </w:t>
      </w:r>
      <w:r w:rsidRPr="00CD3BBE">
        <w:rPr>
          <w:rFonts w:cs="Abz-2 (Badr)" w:hint="cs"/>
          <w:color w:val="0070C0"/>
          <w:sz w:val="28"/>
          <w:szCs w:val="28"/>
          <w:rtl/>
          <w:lang w:bidi="fa-IR"/>
        </w:rPr>
        <w:t>«</w:t>
      </w:r>
      <w:r w:rsidRPr="007306CB">
        <w:rPr>
          <w:rFonts w:cs="Abz-2 (Badr)"/>
          <w:color w:val="0070C0"/>
          <w:sz w:val="28"/>
          <w:szCs w:val="28"/>
          <w:rtl/>
          <w:lang w:bidi="ar"/>
        </w:rPr>
        <w:t xml:space="preserve">هل تكون إباحة جميع التصرّفات </w:t>
      </w:r>
      <w:r w:rsidRPr="00CD3BBE">
        <w:rPr>
          <w:rFonts w:cs="Abz-2 (Badr)" w:hint="cs"/>
          <w:color w:val="0070C0"/>
          <w:sz w:val="28"/>
          <w:szCs w:val="28"/>
          <w:rtl/>
          <w:lang w:bidi="ar"/>
        </w:rPr>
        <w:t>ـ</w:t>
      </w:r>
      <w:r w:rsidRPr="007306CB">
        <w:rPr>
          <w:rFonts w:cs="Abz-2 (Badr)"/>
          <w:color w:val="0070C0"/>
          <w:sz w:val="28"/>
          <w:szCs w:val="28"/>
          <w:rtl/>
          <w:lang w:bidi="ar"/>
        </w:rPr>
        <w:t xml:space="preserve"> أي</w:t>
      </w:r>
      <w:r w:rsidRPr="00CD3BBE">
        <w:rPr>
          <w:rFonts w:cs="Abz-2 (Badr)" w:hint="cs"/>
          <w:color w:val="0070C0"/>
          <w:sz w:val="28"/>
          <w:szCs w:val="28"/>
          <w:rtl/>
          <w:lang w:bidi="ar"/>
        </w:rPr>
        <w:t xml:space="preserve">: </w:t>
      </w:r>
      <w:r w:rsidRPr="007306CB">
        <w:rPr>
          <w:rFonts w:cs="Abz-2 (Badr)"/>
          <w:color w:val="0070C0"/>
          <w:sz w:val="28"/>
          <w:szCs w:val="28"/>
          <w:rtl/>
          <w:lang w:bidi="ar"/>
        </w:rPr>
        <w:t xml:space="preserve">كلّ‌ ما يكون للمالك </w:t>
      </w:r>
      <w:r w:rsidRPr="00CD3BBE">
        <w:rPr>
          <w:rFonts w:cs="Abz-2 (Badr)" w:hint="cs"/>
          <w:color w:val="0070C0"/>
          <w:sz w:val="28"/>
          <w:szCs w:val="28"/>
          <w:rtl/>
          <w:lang w:bidi="ar"/>
        </w:rPr>
        <w:t>ـ</w:t>
      </w:r>
      <w:r w:rsidRPr="007306CB">
        <w:rPr>
          <w:rFonts w:cs="Abz-2 (Badr)"/>
          <w:color w:val="0070C0"/>
          <w:sz w:val="28"/>
          <w:szCs w:val="28"/>
          <w:rtl/>
          <w:lang w:bidi="ar"/>
        </w:rPr>
        <w:t xml:space="preserve"> لشخص، مستلزمة لانتزاع ملكي</w:t>
      </w:r>
      <w:r w:rsidRPr="00CD3BBE">
        <w:rPr>
          <w:rFonts w:cs="Abz-2 (Badr)" w:hint="cs"/>
          <w:color w:val="0070C0"/>
          <w:sz w:val="28"/>
          <w:szCs w:val="28"/>
          <w:rtl/>
          <w:lang w:bidi="ar"/>
        </w:rPr>
        <w:t>ّ</w:t>
      </w:r>
      <w:r w:rsidRPr="007306CB">
        <w:rPr>
          <w:rFonts w:cs="Abz-2 (Badr)"/>
          <w:color w:val="0070C0"/>
          <w:sz w:val="28"/>
          <w:szCs w:val="28"/>
          <w:rtl/>
          <w:lang w:bidi="ar"/>
        </w:rPr>
        <w:t>ته‌؟</w:t>
      </w:r>
      <w:r w:rsidRPr="00CD3BBE">
        <w:rPr>
          <w:rFonts w:cs="Abz-2 (Badr)" w:hint="cs"/>
          <w:color w:val="0070C0"/>
          <w:sz w:val="28"/>
          <w:szCs w:val="28"/>
          <w:rtl/>
          <w:lang w:bidi="ar"/>
        </w:rPr>
        <w:t xml:space="preserve"> </w:t>
      </w:r>
      <w:r w:rsidRPr="007306CB">
        <w:rPr>
          <w:rFonts w:cs="Abz-2 (Badr)"/>
          <w:color w:val="0070C0"/>
          <w:sz w:val="28"/>
          <w:szCs w:val="28"/>
          <w:rtl/>
          <w:lang w:bidi="ar"/>
        </w:rPr>
        <w:t>بأن يقال: إنّ‌ الملك في نظر العقلاء إنّما يعتبر بلحاظ الآثار، ولا يعتبره العقلاء فيما لا أثر له مطلقاً، فكما أنّ‌ سلب مطلق الأثر عن شيء بالنسبة إلى شخص يوجب سلب ملكي</w:t>
      </w:r>
      <w:r w:rsidRPr="00CD3BBE">
        <w:rPr>
          <w:rFonts w:cs="Abz-2 (Badr)" w:hint="cs"/>
          <w:color w:val="0070C0"/>
          <w:sz w:val="28"/>
          <w:szCs w:val="28"/>
          <w:rtl/>
          <w:lang w:bidi="ar"/>
        </w:rPr>
        <w:t>ّ</w:t>
      </w:r>
      <w:r w:rsidRPr="007306CB">
        <w:rPr>
          <w:rFonts w:cs="Abz-2 (Badr)"/>
          <w:color w:val="0070C0"/>
          <w:sz w:val="28"/>
          <w:szCs w:val="28"/>
          <w:rtl/>
          <w:lang w:bidi="ar"/>
        </w:rPr>
        <w:t xml:space="preserve">ته وعدم اعتبارها له </w:t>
      </w:r>
      <w:r w:rsidRPr="00CD3BBE">
        <w:rPr>
          <w:rFonts w:cs="Abz-2 (Badr)" w:hint="cs"/>
          <w:color w:val="0070C0"/>
          <w:sz w:val="28"/>
          <w:szCs w:val="28"/>
          <w:rtl/>
          <w:lang w:bidi="ar"/>
        </w:rPr>
        <w:t>ـ</w:t>
      </w:r>
      <w:r w:rsidRPr="007306CB">
        <w:rPr>
          <w:rFonts w:cs="Abz-2 (Badr)"/>
          <w:color w:val="0070C0"/>
          <w:sz w:val="28"/>
          <w:szCs w:val="28"/>
          <w:rtl/>
          <w:lang w:bidi="ar"/>
        </w:rPr>
        <w:t xml:space="preserve"> لأنّ‌ اعتبارها بلحاظ الآثار، فما لا أثر له مطلقاً لا حالاً ولا استقبالاً، لا يكون ملكاً في اعتبارهم </w:t>
      </w:r>
      <w:r w:rsidRPr="00CD3BBE">
        <w:rPr>
          <w:rFonts w:cs="Abz-2 (Badr)" w:hint="cs"/>
          <w:color w:val="0070C0"/>
          <w:sz w:val="28"/>
          <w:szCs w:val="28"/>
          <w:rtl/>
          <w:lang w:bidi="ar"/>
        </w:rPr>
        <w:t>ـ</w:t>
      </w:r>
      <w:r w:rsidRPr="007306CB">
        <w:rPr>
          <w:rFonts w:cs="Abz-2 (Badr)"/>
          <w:color w:val="0070C0"/>
          <w:sz w:val="28"/>
          <w:szCs w:val="28"/>
          <w:rtl/>
          <w:lang w:bidi="ar"/>
        </w:rPr>
        <w:t xml:space="preserve"> كذلك إثبات جميع آثار الملكي</w:t>
      </w:r>
      <w:r w:rsidRPr="00CD3BBE">
        <w:rPr>
          <w:rFonts w:cs="Abz-2 (Badr)" w:hint="cs"/>
          <w:color w:val="0070C0"/>
          <w:sz w:val="28"/>
          <w:szCs w:val="28"/>
          <w:rtl/>
          <w:lang w:bidi="ar"/>
        </w:rPr>
        <w:t>ّ</w:t>
      </w:r>
      <w:r w:rsidRPr="007306CB">
        <w:rPr>
          <w:rFonts w:cs="Abz-2 (Badr)"/>
          <w:color w:val="0070C0"/>
          <w:sz w:val="28"/>
          <w:szCs w:val="28"/>
          <w:rtl/>
          <w:lang w:bidi="ar"/>
        </w:rPr>
        <w:t>ة لشخص يوجب اعتبارها له.</w:t>
      </w:r>
    </w:p>
    <w:p w14:paraId="28409F17" w14:textId="77777777" w:rsidR="00985872" w:rsidRPr="007306CB" w:rsidRDefault="00985872" w:rsidP="00985872">
      <w:pPr>
        <w:widowControl w:val="0"/>
        <w:bidi/>
        <w:spacing w:after="0" w:line="254" w:lineRule="auto"/>
        <w:ind w:firstLine="284"/>
        <w:jc w:val="both"/>
        <w:rPr>
          <w:rFonts w:cs="Abz-2 (Badr)"/>
          <w:color w:val="0070C0"/>
          <w:sz w:val="28"/>
          <w:szCs w:val="28"/>
          <w:rtl/>
          <w:lang w:bidi="ar"/>
        </w:rPr>
      </w:pPr>
      <w:r w:rsidRPr="007306CB">
        <w:rPr>
          <w:rFonts w:cs="Abz-2 (Badr)"/>
          <w:color w:val="0070C0"/>
          <w:sz w:val="28"/>
          <w:szCs w:val="28"/>
          <w:rtl/>
          <w:lang w:bidi="ar"/>
        </w:rPr>
        <w:t xml:space="preserve">فإذا أباح المالك جميع التصرّفات التي هي له لغيره، يكون ذلك عبارة </w:t>
      </w:r>
      <w:r w:rsidRPr="00CD3BBE">
        <w:rPr>
          <w:rFonts w:cs="Abz-2 (Badr)" w:hint="cs"/>
          <w:color w:val="0070C0"/>
          <w:sz w:val="28"/>
          <w:szCs w:val="28"/>
          <w:rtl/>
          <w:lang w:bidi="ar"/>
        </w:rPr>
        <w:t>أُ</w:t>
      </w:r>
      <w:r w:rsidRPr="007306CB">
        <w:rPr>
          <w:rFonts w:cs="Abz-2 (Badr)"/>
          <w:color w:val="0070C0"/>
          <w:sz w:val="28"/>
          <w:szCs w:val="28"/>
          <w:rtl/>
          <w:lang w:bidi="ar"/>
        </w:rPr>
        <w:t>خرى من التمليك، بحيث لو صرّح مع ذلك بعدم التمليك، يعدّ تناقضاً</w:t>
      </w:r>
      <w:r w:rsidRPr="00CD3BBE">
        <w:rPr>
          <w:rFonts w:cs="Abz-2 (Badr)" w:hint="cs"/>
          <w:color w:val="0070C0"/>
          <w:sz w:val="28"/>
          <w:szCs w:val="28"/>
          <w:rtl/>
          <w:lang w:bidi="ar"/>
        </w:rPr>
        <w:t>...</w:t>
      </w:r>
    </w:p>
    <w:p w14:paraId="5223F951" w14:textId="77777777" w:rsidR="00985872" w:rsidRPr="007306CB" w:rsidRDefault="00985872" w:rsidP="00985872">
      <w:pPr>
        <w:widowControl w:val="0"/>
        <w:bidi/>
        <w:spacing w:after="0" w:line="254" w:lineRule="auto"/>
        <w:ind w:firstLine="284"/>
        <w:jc w:val="both"/>
        <w:rPr>
          <w:rFonts w:cs="Abz-2 (Badr)"/>
          <w:color w:val="0070C0"/>
          <w:sz w:val="28"/>
          <w:szCs w:val="28"/>
          <w:rtl/>
          <w:lang w:bidi="ar"/>
        </w:rPr>
      </w:pPr>
      <w:r w:rsidRPr="007306CB">
        <w:rPr>
          <w:rFonts w:cs="Abz-2 (Badr)"/>
          <w:color w:val="0070C0"/>
          <w:sz w:val="28"/>
          <w:szCs w:val="28"/>
          <w:rtl/>
          <w:lang w:bidi="ar"/>
        </w:rPr>
        <w:t>لكنّ‌ التحقيق أنّ‌ هذه الإباحة لا ترجع إلى التمليك، ولا تنتزع الملكي</w:t>
      </w:r>
      <w:r w:rsidRPr="00CD3BBE">
        <w:rPr>
          <w:rFonts w:cs="Abz-2 (Badr)" w:hint="cs"/>
          <w:color w:val="0070C0"/>
          <w:sz w:val="28"/>
          <w:szCs w:val="28"/>
          <w:rtl/>
          <w:lang w:bidi="ar"/>
        </w:rPr>
        <w:t>ّ</w:t>
      </w:r>
      <w:r w:rsidRPr="007306CB">
        <w:rPr>
          <w:rFonts w:cs="Abz-2 (Badr)"/>
          <w:color w:val="0070C0"/>
          <w:sz w:val="28"/>
          <w:szCs w:val="28"/>
          <w:rtl/>
          <w:lang w:bidi="ar"/>
        </w:rPr>
        <w:t>ة منها عرفاً؛ فإنّ‌ إباحته كذلك لا ترجع إلى سلب أنحاء التصرّفات عن المالك، ولهذا تصحّ‌ الإباحة المطلقة لأشخاص متعدّدين، مع أنّ‌ ملكي</w:t>
      </w:r>
      <w:r w:rsidRPr="00CD3BBE">
        <w:rPr>
          <w:rFonts w:cs="Abz-2 (Badr)" w:hint="cs"/>
          <w:color w:val="0070C0"/>
          <w:sz w:val="28"/>
          <w:szCs w:val="28"/>
          <w:rtl/>
          <w:lang w:bidi="ar"/>
        </w:rPr>
        <w:t>ّ</w:t>
      </w:r>
      <w:r w:rsidRPr="007306CB">
        <w:rPr>
          <w:rFonts w:cs="Abz-2 (Badr)"/>
          <w:color w:val="0070C0"/>
          <w:sz w:val="28"/>
          <w:szCs w:val="28"/>
          <w:rtl/>
          <w:lang w:bidi="ar"/>
        </w:rPr>
        <w:t>ة تمام الشيء لا تعقل لأكثر من واحد، كما أنّ‌ إباحته كذلك لا توجب سلب جميع الآثار عن نفسه، فيجوز له المنع عن تصرّفاته والرجوع عن إباحته، ومعه لا تسلب علاقة ملكي</w:t>
      </w:r>
      <w:r w:rsidRPr="00CD3BBE">
        <w:rPr>
          <w:rFonts w:cs="Abz-2 (Badr)" w:hint="cs"/>
          <w:color w:val="0070C0"/>
          <w:sz w:val="28"/>
          <w:szCs w:val="28"/>
          <w:rtl/>
          <w:lang w:bidi="ar"/>
        </w:rPr>
        <w:t>ّ</w:t>
      </w:r>
      <w:r w:rsidRPr="007306CB">
        <w:rPr>
          <w:rFonts w:cs="Abz-2 (Badr)"/>
          <w:color w:val="0070C0"/>
          <w:sz w:val="28"/>
          <w:szCs w:val="28"/>
          <w:rtl/>
          <w:lang w:bidi="ar"/>
        </w:rPr>
        <w:t>ته.</w:t>
      </w:r>
    </w:p>
    <w:p w14:paraId="49206899" w14:textId="77777777" w:rsidR="00985872" w:rsidRDefault="00985872" w:rsidP="00985872">
      <w:pPr>
        <w:widowControl w:val="0"/>
        <w:bidi/>
        <w:spacing w:after="0" w:line="254" w:lineRule="auto"/>
        <w:ind w:firstLine="284"/>
        <w:jc w:val="both"/>
        <w:rPr>
          <w:rFonts w:cs="Abz-2 (Badr)"/>
          <w:color w:val="0070C0"/>
          <w:sz w:val="28"/>
          <w:szCs w:val="28"/>
          <w:rtl/>
          <w:lang w:bidi="ar"/>
        </w:rPr>
      </w:pPr>
      <w:r w:rsidRPr="007306CB">
        <w:rPr>
          <w:rFonts w:cs="Abz-2 (Badr)"/>
          <w:color w:val="0070C0"/>
          <w:sz w:val="28"/>
          <w:szCs w:val="28"/>
          <w:rtl/>
          <w:lang w:bidi="ar"/>
        </w:rPr>
        <w:t>إلا أن يقال بالفرق بين الإباحة بلا عوض ومع العوض، فيلتزم بسلب</w:t>
      </w:r>
      <w:r w:rsidRPr="00CD3BBE">
        <w:rPr>
          <w:rFonts w:cs="Abz-2 (Badr)" w:hint="cs"/>
          <w:color w:val="0070C0"/>
          <w:sz w:val="28"/>
          <w:szCs w:val="28"/>
          <w:rtl/>
          <w:lang w:bidi="ar"/>
        </w:rPr>
        <w:t xml:space="preserve"> </w:t>
      </w:r>
      <w:r w:rsidRPr="007306CB">
        <w:rPr>
          <w:rFonts w:cs="Abz-2 (Badr)"/>
          <w:color w:val="0070C0"/>
          <w:sz w:val="28"/>
          <w:szCs w:val="28"/>
          <w:rtl/>
          <w:lang w:bidi="ar"/>
        </w:rPr>
        <w:t>الملكي</w:t>
      </w:r>
      <w:r w:rsidRPr="00CD3BBE">
        <w:rPr>
          <w:rFonts w:cs="Abz-2 (Badr)" w:hint="cs"/>
          <w:color w:val="0070C0"/>
          <w:sz w:val="28"/>
          <w:szCs w:val="28"/>
          <w:rtl/>
          <w:lang w:bidi="ar"/>
        </w:rPr>
        <w:t>ّ</w:t>
      </w:r>
      <w:r w:rsidRPr="007306CB">
        <w:rPr>
          <w:rFonts w:cs="Abz-2 (Badr)"/>
          <w:color w:val="0070C0"/>
          <w:sz w:val="28"/>
          <w:szCs w:val="28"/>
          <w:rtl/>
          <w:lang w:bidi="ar"/>
        </w:rPr>
        <w:t>ة عن المبيح وثبوتها للمباح له في الإباحة المطلقة المعوّضة</w:t>
      </w:r>
      <w:r w:rsidRPr="00CD3BBE">
        <w:rPr>
          <w:rFonts w:cs="Abz-2 (Badr)" w:hint="cs"/>
          <w:color w:val="0070C0"/>
          <w:sz w:val="28"/>
          <w:szCs w:val="28"/>
          <w:rtl/>
          <w:lang w:bidi="ar"/>
        </w:rPr>
        <w:t>...»</w:t>
      </w:r>
      <w:r w:rsidRPr="001F44B4">
        <w:rPr>
          <w:rStyle w:val="FootnoteReference"/>
          <w:rFonts w:cs="Abz-2 (Badr)"/>
          <w:color w:val="000000" w:themeColor="text1"/>
          <w:sz w:val="28"/>
          <w:szCs w:val="28"/>
          <w:rtl/>
          <w:lang w:bidi="ar"/>
        </w:rPr>
        <w:footnoteReference w:id="1"/>
      </w:r>
    </w:p>
    <w:p w14:paraId="7B599D0E" w14:textId="77777777" w:rsidR="00985872" w:rsidRDefault="00985872" w:rsidP="00985872">
      <w:pPr>
        <w:widowControl w:val="0"/>
        <w:bidi/>
        <w:spacing w:after="0"/>
        <w:ind w:firstLine="284"/>
        <w:jc w:val="both"/>
        <w:rPr>
          <w:rFonts w:cs="Abz-2 (Badr)"/>
          <w:color w:val="000000" w:themeColor="text1"/>
          <w:sz w:val="28"/>
          <w:szCs w:val="28"/>
          <w:rtl/>
          <w:lang w:bidi="ar"/>
        </w:rPr>
      </w:pPr>
      <w:r w:rsidRPr="00CD3BBE">
        <w:rPr>
          <w:rFonts w:cs="Abz-2 (Badr)" w:hint="cs"/>
          <w:color w:val="000000" w:themeColor="text1"/>
          <w:sz w:val="28"/>
          <w:szCs w:val="28"/>
          <w:rtl/>
          <w:lang w:bidi="ar"/>
        </w:rPr>
        <w:t xml:space="preserve">طبق مدعای ايشان، اباحه تصرّفات مالکانه به غير مالک توسط مالک، منوط بر </w:t>
      </w:r>
      <w:r>
        <w:rPr>
          <w:rFonts w:cs="Abz-2 (Badr)" w:hint="cs"/>
          <w:color w:val="000000" w:themeColor="text1"/>
          <w:sz w:val="28"/>
          <w:szCs w:val="28"/>
          <w:rtl/>
          <w:lang w:bidi="ar"/>
        </w:rPr>
        <w:t xml:space="preserve">وجود دليل شرعی نيست، بلکه </w:t>
      </w:r>
      <w:r>
        <w:rPr>
          <w:rFonts w:cs="Abz-2 (Badr)" w:hint="cs"/>
          <w:color w:val="000000" w:themeColor="text1"/>
          <w:sz w:val="28"/>
          <w:szCs w:val="28"/>
          <w:rtl/>
          <w:lang w:bidi="ar"/>
        </w:rPr>
        <w:lastRenderedPageBreak/>
        <w:t>امری معقول است که منعی از آن در ادله شرعيه وجود ندارد.</w:t>
      </w:r>
    </w:p>
    <w:p w14:paraId="37EB1C5F" w14:textId="77777777" w:rsidR="00985872" w:rsidRDefault="00985872" w:rsidP="00985872">
      <w:pPr>
        <w:widowControl w:val="0"/>
        <w:bidi/>
        <w:spacing w:after="0"/>
        <w:ind w:firstLine="284"/>
        <w:jc w:val="both"/>
        <w:rPr>
          <w:rFonts w:cs="Abz-2 (Badr)"/>
          <w:color w:val="000000" w:themeColor="text1"/>
          <w:sz w:val="28"/>
          <w:szCs w:val="28"/>
          <w:rtl/>
          <w:lang w:bidi="ar"/>
        </w:rPr>
      </w:pPr>
      <w:r>
        <w:rPr>
          <w:rFonts w:cs="Abz-2 (Badr)" w:hint="cs"/>
          <w:color w:val="000000" w:themeColor="text1"/>
          <w:sz w:val="28"/>
          <w:szCs w:val="28"/>
          <w:rtl/>
          <w:lang w:bidi="ar"/>
        </w:rPr>
        <w:t>اما تنقيح اين مطلب موکول به کتاب بيع است.</w:t>
      </w:r>
    </w:p>
    <w:p w14:paraId="51AC2CC5" w14:textId="77777777" w:rsidR="00985872" w:rsidRDefault="00985872" w:rsidP="00985872">
      <w:pPr>
        <w:widowControl w:val="0"/>
        <w:bidi/>
        <w:spacing w:after="0"/>
        <w:ind w:firstLine="284"/>
        <w:jc w:val="both"/>
        <w:rPr>
          <w:rFonts w:cs="Abz-2 (Badr)"/>
          <w:color w:val="000000" w:themeColor="text1"/>
          <w:sz w:val="28"/>
          <w:szCs w:val="28"/>
          <w:rtl/>
          <w:lang w:bidi="ar"/>
        </w:rPr>
      </w:pPr>
      <w:r>
        <w:rPr>
          <w:rFonts w:cs="Abz-2 (Badr)" w:hint="cs"/>
          <w:color w:val="000000" w:themeColor="text1"/>
          <w:sz w:val="28"/>
          <w:szCs w:val="28"/>
          <w:rtl/>
          <w:lang w:bidi="ar"/>
        </w:rPr>
        <w:t>و در هر حال اشکالی وجود ندارد که بنابر هر دو قول، از آنجا که در ما نحن فيه، دليل خاص دلالت بر جواز تصرف زوجه در نفقه به نحو مطلق دارد، می</w:t>
      </w:r>
      <w:r>
        <w:rPr>
          <w:rFonts w:cs="Abz-2 (Badr)"/>
          <w:color w:val="000000" w:themeColor="text1"/>
          <w:sz w:val="28"/>
          <w:szCs w:val="28"/>
          <w:rtl/>
          <w:lang w:bidi="ar"/>
        </w:rPr>
        <w:softHyphen/>
      </w:r>
      <w:r>
        <w:rPr>
          <w:rFonts w:cs="Abz-2 (Badr)" w:hint="cs"/>
          <w:color w:val="000000" w:themeColor="text1"/>
          <w:sz w:val="28"/>
          <w:szCs w:val="28"/>
          <w:rtl/>
          <w:lang w:bidi="ar"/>
        </w:rPr>
        <w:t>توان قائل به جواز اباحه مطلقه شد و وجهی برای ثبوت ملکيت زوجه بر نفقه وجود ندارد.</w:t>
      </w:r>
    </w:p>
    <w:p w14:paraId="553E6D9D" w14:textId="77777777" w:rsidR="00985872" w:rsidRDefault="00985872" w:rsidP="00985872">
      <w:pPr>
        <w:widowControl w:val="0"/>
        <w:bidi/>
        <w:spacing w:after="0"/>
        <w:ind w:firstLine="284"/>
        <w:jc w:val="both"/>
        <w:rPr>
          <w:rFonts w:cs="Abz-2 (Badr)"/>
          <w:color w:val="000000" w:themeColor="text1"/>
          <w:sz w:val="28"/>
          <w:szCs w:val="28"/>
          <w:rtl/>
          <w:lang w:bidi="ar"/>
        </w:rPr>
      </w:pPr>
      <w:r>
        <w:rPr>
          <w:rFonts w:cs="Abz-2 (Badr)" w:hint="cs"/>
          <w:color w:val="000000" w:themeColor="text1"/>
          <w:sz w:val="28"/>
          <w:szCs w:val="28"/>
          <w:rtl/>
          <w:lang w:bidi="ar"/>
        </w:rPr>
        <w:t>اما اجماع، از آنجا که مدرکی است و يا اين که احتمال قوی در خصوص مدرکی بودن آن وجود دارد، دارای اعتبار نيست.</w:t>
      </w:r>
    </w:p>
    <w:p w14:paraId="56FFF707" w14:textId="77777777" w:rsidR="00985872" w:rsidRDefault="00985872" w:rsidP="00985872">
      <w:pPr>
        <w:widowControl w:val="0"/>
        <w:bidi/>
        <w:spacing w:after="0" w:line="254" w:lineRule="auto"/>
        <w:ind w:firstLine="284"/>
        <w:jc w:val="both"/>
        <w:rPr>
          <w:rFonts w:cs="Abz-2 (Badr)"/>
          <w:color w:val="000000" w:themeColor="text1"/>
          <w:sz w:val="28"/>
          <w:szCs w:val="28"/>
          <w:rtl/>
          <w:lang w:bidi="ar"/>
        </w:rPr>
      </w:pPr>
      <w:r>
        <w:rPr>
          <w:rFonts w:cs="Abz-2 (Badr)" w:hint="cs"/>
          <w:color w:val="000000" w:themeColor="text1"/>
          <w:sz w:val="28"/>
          <w:szCs w:val="28"/>
          <w:rtl/>
          <w:lang w:bidi="ar"/>
        </w:rPr>
        <w:t>مگر اين که ادعا شود: اصل در حقوق مالی بر ملکيت است و هرجا که شارع حقی مالی برای کسی بيان کند، لازمه آن ملکيت ذو الحق است مگر اين که دليلی بر خلاف آن دلالت داشته باشد.</w:t>
      </w:r>
    </w:p>
    <w:p w14:paraId="34B49CF6" w14:textId="77777777" w:rsidR="00985872" w:rsidRDefault="00985872" w:rsidP="00985872">
      <w:pPr>
        <w:widowControl w:val="0"/>
        <w:bidi/>
        <w:spacing w:after="0" w:line="254" w:lineRule="auto"/>
        <w:ind w:firstLine="284"/>
        <w:jc w:val="both"/>
        <w:rPr>
          <w:rFonts w:cs="Abz-2 (Badr)"/>
          <w:color w:val="000000" w:themeColor="text1"/>
          <w:sz w:val="28"/>
          <w:szCs w:val="28"/>
          <w:rtl/>
          <w:lang w:bidi="ar"/>
        </w:rPr>
      </w:pPr>
      <w:r>
        <w:rPr>
          <w:rFonts w:cs="Abz-2 (Badr)" w:hint="cs"/>
          <w:color w:val="000000" w:themeColor="text1"/>
          <w:sz w:val="28"/>
          <w:szCs w:val="28"/>
          <w:rtl/>
          <w:lang w:bidi="ar"/>
        </w:rPr>
        <w:t xml:space="preserve">شهيد ثانی در اين خصوص فرموده است: </w:t>
      </w:r>
      <w:r w:rsidRPr="00FF48EF">
        <w:rPr>
          <w:rFonts w:cs="Abz-2 (Badr)" w:hint="cs"/>
          <w:color w:val="0070C0"/>
          <w:sz w:val="28"/>
          <w:szCs w:val="28"/>
          <w:rtl/>
          <w:lang w:bidi="ar"/>
        </w:rPr>
        <w:t>«إ</w:t>
      </w:r>
      <w:r w:rsidRPr="00FA52A6">
        <w:rPr>
          <w:rFonts w:cs="Abz-2 (Badr)"/>
          <w:color w:val="0070C0"/>
          <w:sz w:val="28"/>
          <w:szCs w:val="28"/>
          <w:rtl/>
          <w:lang w:bidi="ar"/>
        </w:rPr>
        <w:t>ن</w:t>
      </w:r>
      <w:r w:rsidRPr="00FA52A6">
        <w:rPr>
          <w:rFonts w:cs="Abz-2 (Badr)" w:hint="cs"/>
          <w:color w:val="0070C0"/>
          <w:sz w:val="28"/>
          <w:szCs w:val="28"/>
          <w:rtl/>
          <w:lang w:bidi="ar"/>
        </w:rPr>
        <w:t>ّ</w:t>
      </w:r>
      <w:r w:rsidRPr="00FA52A6">
        <w:rPr>
          <w:rFonts w:cs="Abz-2 (Badr)"/>
          <w:color w:val="0070C0"/>
          <w:sz w:val="28"/>
          <w:szCs w:val="28"/>
          <w:rtl/>
          <w:lang w:bidi="ar"/>
        </w:rPr>
        <w:t xml:space="preserve"> النفقة حقّ‌ مالي‌، والأصل فيه وجوب القضاء، خرج القريب من ذلك بدليل خارج، لأن</w:t>
      </w:r>
      <w:r w:rsidRPr="00FA52A6">
        <w:rPr>
          <w:rFonts w:cs="Abz-2 (Badr)" w:hint="cs"/>
          <w:color w:val="0070C0"/>
          <w:sz w:val="28"/>
          <w:szCs w:val="28"/>
          <w:rtl/>
          <w:lang w:bidi="ar"/>
        </w:rPr>
        <w:t>ّ</w:t>
      </w:r>
      <w:r w:rsidRPr="00FA52A6">
        <w:rPr>
          <w:rFonts w:cs="Abz-2 (Badr)"/>
          <w:color w:val="0070C0"/>
          <w:sz w:val="28"/>
          <w:szCs w:val="28"/>
          <w:rtl/>
          <w:lang w:bidi="ar"/>
        </w:rPr>
        <w:t>ها معونة لسدّ الخلّة</w:t>
      </w:r>
      <w:r w:rsidRPr="00FA52A6">
        <w:rPr>
          <w:rFonts w:cs="Abz-2 (Badr)" w:hint="cs"/>
          <w:color w:val="0070C0"/>
          <w:sz w:val="28"/>
          <w:szCs w:val="28"/>
          <w:rtl/>
          <w:lang w:bidi="ar"/>
        </w:rPr>
        <w:t>،</w:t>
      </w:r>
      <w:r w:rsidRPr="00FA52A6">
        <w:rPr>
          <w:rFonts w:cs="Abz-2 (Badr)"/>
          <w:color w:val="0070C0"/>
          <w:sz w:val="28"/>
          <w:szCs w:val="28"/>
          <w:rtl/>
          <w:lang w:bidi="ar"/>
        </w:rPr>
        <w:t xml:space="preserve"> فيبقى الباقي على الأصل</w:t>
      </w:r>
      <w:r>
        <w:rPr>
          <w:rFonts w:cs="Abz-2 (Badr)" w:hint="cs"/>
          <w:color w:val="0070C0"/>
          <w:sz w:val="28"/>
          <w:szCs w:val="28"/>
          <w:rtl/>
          <w:lang w:bidi="ar"/>
        </w:rPr>
        <w:t>.»</w:t>
      </w:r>
      <w:r w:rsidRPr="001F44B4">
        <w:rPr>
          <w:rStyle w:val="FootnoteReference"/>
          <w:rFonts w:cs="Abz-2 (Badr)"/>
          <w:color w:val="000000" w:themeColor="text1"/>
          <w:sz w:val="28"/>
          <w:szCs w:val="28"/>
          <w:rtl/>
          <w:lang w:bidi="ar"/>
        </w:rPr>
        <w:footnoteReference w:id="2"/>
      </w:r>
    </w:p>
    <w:p w14:paraId="0FF665E8" w14:textId="77777777" w:rsidR="00985872" w:rsidRDefault="00985872" w:rsidP="00985872">
      <w:pPr>
        <w:widowControl w:val="0"/>
        <w:bidi/>
        <w:spacing w:after="0" w:line="254" w:lineRule="auto"/>
        <w:ind w:firstLine="284"/>
        <w:jc w:val="both"/>
        <w:rPr>
          <w:rFonts w:cs="Abz-2 (Badr)"/>
          <w:color w:val="000000" w:themeColor="text1"/>
          <w:sz w:val="28"/>
          <w:szCs w:val="28"/>
          <w:rtl/>
          <w:lang w:bidi="fa-IR"/>
        </w:rPr>
      </w:pPr>
      <w:bookmarkStart w:id="2" w:name="_Hlk216777664"/>
      <w:r>
        <w:rPr>
          <w:rFonts w:cs="Abz-2 (Badr)" w:hint="cs"/>
          <w:color w:val="000000" w:themeColor="text1"/>
          <w:sz w:val="28"/>
          <w:szCs w:val="28"/>
          <w:rtl/>
          <w:lang w:bidi="ar"/>
        </w:rPr>
        <w:t>در واقع آنچه که صاحب مسال</w:t>
      </w:r>
      <w:r>
        <w:rPr>
          <w:rFonts w:cs="Abz-2 (Badr)" w:hint="cs"/>
          <w:color w:val="000000" w:themeColor="text1"/>
          <w:sz w:val="28"/>
          <w:szCs w:val="28"/>
          <w:rtl/>
        </w:rPr>
        <w:t>ک</w:t>
      </w:r>
      <w:r>
        <w:rPr>
          <w:rFonts w:cs="Abz-2 (Badr)" w:hint="cs"/>
          <w:color w:val="000000" w:themeColor="text1"/>
          <w:sz w:val="28"/>
          <w:szCs w:val="28"/>
          <w:rtl/>
          <w:lang w:bidi="fa-IR"/>
        </w:rPr>
        <w:t xml:space="preserve"> فرموده</w:t>
      </w:r>
      <w:r>
        <w:rPr>
          <w:rFonts w:cs="Abz-2 (Badr)"/>
          <w:color w:val="000000" w:themeColor="text1"/>
          <w:sz w:val="28"/>
          <w:szCs w:val="28"/>
          <w:rtl/>
          <w:lang w:bidi="fa-IR"/>
        </w:rPr>
        <w:softHyphen/>
      </w:r>
      <w:r>
        <w:rPr>
          <w:rFonts w:cs="Abz-2 (Badr)" w:hint="cs"/>
          <w:color w:val="000000" w:themeColor="text1"/>
          <w:sz w:val="28"/>
          <w:szCs w:val="28"/>
          <w:rtl/>
          <w:lang w:bidi="fa-IR"/>
        </w:rPr>
        <w:t>اند، مبتنی بر استظهار عرفی از ادله</w:t>
      </w:r>
      <w:r>
        <w:rPr>
          <w:rFonts w:cs="Abz-2 (Badr)"/>
          <w:color w:val="000000" w:themeColor="text1"/>
          <w:sz w:val="28"/>
          <w:szCs w:val="28"/>
          <w:rtl/>
          <w:lang w:bidi="fa-IR"/>
        </w:rPr>
        <w:softHyphen/>
      </w:r>
      <w:r>
        <w:rPr>
          <w:rFonts w:cs="Abz-2 (Badr)" w:hint="cs"/>
          <w:color w:val="000000" w:themeColor="text1"/>
          <w:sz w:val="28"/>
          <w:szCs w:val="28"/>
          <w:rtl/>
          <w:lang w:bidi="fa-IR"/>
        </w:rPr>
        <w:t>ای است که در آنها، حقی مالی از جانب شارع برای کسی لحاظ می</w:t>
      </w:r>
      <w:r>
        <w:rPr>
          <w:rFonts w:cs="Abz-2 (Badr)"/>
          <w:color w:val="000000" w:themeColor="text1"/>
          <w:sz w:val="28"/>
          <w:szCs w:val="28"/>
          <w:rtl/>
          <w:lang w:bidi="fa-IR"/>
        </w:rPr>
        <w:softHyphen/>
      </w:r>
      <w:r>
        <w:rPr>
          <w:rFonts w:cs="Abz-2 (Badr)" w:hint="cs"/>
          <w:color w:val="000000" w:themeColor="text1"/>
          <w:sz w:val="28"/>
          <w:szCs w:val="28"/>
          <w:rtl/>
          <w:lang w:bidi="fa-IR"/>
        </w:rPr>
        <w:t>شود، به اين معنا که عرف از چنين مطلبی ملکيت را برداشت می</w:t>
      </w:r>
      <w:r>
        <w:rPr>
          <w:rFonts w:cs="Abz-2 (Badr)"/>
          <w:color w:val="000000" w:themeColor="text1"/>
          <w:sz w:val="28"/>
          <w:szCs w:val="28"/>
          <w:rtl/>
          <w:lang w:bidi="fa-IR"/>
        </w:rPr>
        <w:softHyphen/>
      </w:r>
      <w:r>
        <w:rPr>
          <w:rFonts w:cs="Abz-2 (Badr)" w:hint="cs"/>
          <w:color w:val="000000" w:themeColor="text1"/>
          <w:sz w:val="28"/>
          <w:szCs w:val="28"/>
          <w:rtl/>
          <w:lang w:bidi="fa-IR"/>
        </w:rPr>
        <w:t>کند نه مجرد اباحه را.</w:t>
      </w:r>
    </w:p>
    <w:p w14:paraId="7AB03544" w14:textId="77777777" w:rsidR="00985872" w:rsidRDefault="00985872" w:rsidP="00985872">
      <w:pPr>
        <w:widowControl w:val="0"/>
        <w:bidi/>
        <w:spacing w:after="0" w:line="254" w:lineRule="auto"/>
        <w:ind w:firstLine="284"/>
        <w:jc w:val="both"/>
        <w:rPr>
          <w:rFonts w:cs="Abz-2 (Badr)"/>
          <w:color w:val="000000" w:themeColor="text1"/>
          <w:sz w:val="28"/>
          <w:szCs w:val="28"/>
          <w:rtl/>
          <w:lang w:bidi="fa-IR"/>
        </w:rPr>
      </w:pPr>
      <w:r>
        <w:rPr>
          <w:rFonts w:cs="Abz-2 (Badr)" w:hint="cs"/>
          <w:color w:val="000000" w:themeColor="text1"/>
          <w:sz w:val="28"/>
          <w:szCs w:val="28"/>
          <w:rtl/>
          <w:lang w:bidi="fa-IR"/>
        </w:rPr>
        <w:t>اما حق اين است که بايد در مسأله قائل به تفصيل شد.</w:t>
      </w:r>
    </w:p>
    <w:p w14:paraId="54F8768D" w14:textId="77777777" w:rsidR="00985872" w:rsidRDefault="00985872" w:rsidP="00985872">
      <w:pPr>
        <w:widowControl w:val="0"/>
        <w:bidi/>
        <w:spacing w:after="0" w:line="254" w:lineRule="auto"/>
        <w:ind w:firstLine="284"/>
        <w:jc w:val="both"/>
        <w:rPr>
          <w:rFonts w:cs="Abz-2 (Badr)"/>
          <w:color w:val="000000" w:themeColor="text1"/>
          <w:sz w:val="28"/>
          <w:szCs w:val="28"/>
          <w:rtl/>
          <w:lang w:bidi="fa-IR"/>
        </w:rPr>
      </w:pPr>
      <w:r>
        <w:rPr>
          <w:rFonts w:cs="Abz-2 (Badr)" w:hint="cs"/>
          <w:color w:val="000000" w:themeColor="text1"/>
          <w:sz w:val="28"/>
          <w:szCs w:val="28"/>
          <w:rtl/>
          <w:lang w:bidi="fa-IR"/>
        </w:rPr>
        <w:t>چنانچه در دليلی لزوم دفع عينی به فردی وارد شود و يا اين که فقط جواز انتفاع از عين برای آن فرد ذکر شده باشد ولی انتفاع از عين، مستلزم استهلاک و از بين رفتن عين باشد، عرف از آن برداشت وجوب تمليک دارد، خصوصاً اگر علاوه بر اين مطلب، تصرفات مبتنی بر ملک را نيز برای آن فرد تجويز نمايد.</w:t>
      </w:r>
    </w:p>
    <w:p w14:paraId="5AE8DB02" w14:textId="77777777" w:rsidR="00985872" w:rsidRDefault="00985872" w:rsidP="00985872">
      <w:pPr>
        <w:widowControl w:val="0"/>
        <w:bidi/>
        <w:spacing w:after="0" w:line="254" w:lineRule="auto"/>
        <w:ind w:firstLine="284"/>
        <w:jc w:val="both"/>
        <w:rPr>
          <w:rFonts w:cs="Abz-2 (Badr)"/>
          <w:color w:val="000000" w:themeColor="text1"/>
          <w:sz w:val="28"/>
          <w:szCs w:val="28"/>
          <w:rtl/>
          <w:lang w:bidi="fa-IR"/>
        </w:rPr>
      </w:pPr>
      <w:r>
        <w:rPr>
          <w:rFonts w:cs="Abz-2 (Badr)" w:hint="cs"/>
          <w:color w:val="000000" w:themeColor="text1"/>
          <w:sz w:val="28"/>
          <w:szCs w:val="28"/>
          <w:rtl/>
          <w:lang w:bidi="fa-IR"/>
        </w:rPr>
        <w:t>مثلاً چنانچه شارع به فردی بفرمايد: «خانه خود را به زيد بده»، عرف از اين امر، برداشت وجوب تمليک می</w:t>
      </w:r>
      <w:r>
        <w:rPr>
          <w:rFonts w:cs="Abz-2 (Badr)"/>
          <w:color w:val="000000" w:themeColor="text1"/>
          <w:sz w:val="28"/>
          <w:szCs w:val="28"/>
          <w:rtl/>
          <w:lang w:bidi="fa-IR"/>
        </w:rPr>
        <w:softHyphen/>
      </w:r>
      <w:r>
        <w:rPr>
          <w:rFonts w:cs="Abz-2 (Badr)" w:hint="cs"/>
          <w:color w:val="000000" w:themeColor="text1"/>
          <w:sz w:val="28"/>
          <w:szCs w:val="28"/>
          <w:rtl/>
          <w:lang w:bidi="fa-IR"/>
        </w:rPr>
        <w:t>کند نه صرف اباحه، علی الخصوص اگر بيان کند که زيد حق نقل خانه به غير را هم داراست.</w:t>
      </w:r>
    </w:p>
    <w:p w14:paraId="3226C91F" w14:textId="77777777" w:rsidR="00985872" w:rsidRDefault="00985872" w:rsidP="00985872">
      <w:pPr>
        <w:widowControl w:val="0"/>
        <w:bidi/>
        <w:spacing w:after="0" w:line="254" w:lineRule="auto"/>
        <w:ind w:firstLine="284"/>
        <w:jc w:val="both"/>
        <w:rPr>
          <w:rFonts w:cs="Abz-2 (Badr)"/>
          <w:color w:val="000000" w:themeColor="text1"/>
          <w:sz w:val="28"/>
          <w:szCs w:val="28"/>
          <w:rtl/>
          <w:lang w:bidi="fa-IR"/>
        </w:rPr>
      </w:pPr>
      <w:r>
        <w:rPr>
          <w:rFonts w:cs="Abz-2 (Badr)" w:hint="cs"/>
          <w:color w:val="000000" w:themeColor="text1"/>
          <w:sz w:val="28"/>
          <w:szCs w:val="28"/>
          <w:rtl/>
          <w:lang w:bidi="fa-IR"/>
        </w:rPr>
        <w:lastRenderedPageBreak/>
        <w:t>اما در صورتی که دليل صرفاً بر اين دلالت داشته باشد که بايد نياز زوجه بر طرف شود و برطرف ساختن نياز او نيز مستلزم اين نباشد که عين در اختيار او قرار بگيرد و به واسطه استفاده وی از آن، مستهلک شود، وجهی برای لزوم تمليک عين وجود نخواهد داشت.</w:t>
      </w:r>
    </w:p>
    <w:p w14:paraId="14FE8B99" w14:textId="77777777" w:rsidR="00985872" w:rsidRDefault="00985872" w:rsidP="00985872">
      <w:pPr>
        <w:widowControl w:val="0"/>
        <w:bidi/>
        <w:spacing w:after="0" w:line="254" w:lineRule="auto"/>
        <w:ind w:firstLine="284"/>
        <w:jc w:val="both"/>
        <w:rPr>
          <w:rFonts w:cs="Abz-2 (Badr)"/>
          <w:color w:val="000000" w:themeColor="text1"/>
          <w:sz w:val="28"/>
          <w:szCs w:val="28"/>
          <w:rtl/>
          <w:lang w:bidi="fa-IR"/>
        </w:rPr>
      </w:pPr>
      <w:r>
        <w:rPr>
          <w:rFonts w:cs="Abz-2 (Badr)" w:hint="cs"/>
          <w:color w:val="000000" w:themeColor="text1"/>
          <w:sz w:val="28"/>
          <w:szCs w:val="28"/>
          <w:rtl/>
          <w:lang w:bidi="fa-IR"/>
        </w:rPr>
        <w:t>به همين جهت در مواردی که در ادله امر به دادن عين به زوجه نشده و انتفاع زوجه از عين نيز مستلزم استهلاک و از بين رفتن عين نيست ـ مثل مسکن يا خادم ـ وجهی برای اين که قائل به ملکيت زوجه بر عين گرديم وجود ندارد.</w:t>
      </w:r>
      <w:bookmarkEnd w:id="2"/>
    </w:p>
    <w:p w14:paraId="043E1E30" w14:textId="77777777" w:rsidR="00985872" w:rsidRDefault="00985872" w:rsidP="00985872">
      <w:pPr>
        <w:widowControl w:val="0"/>
        <w:bidi/>
        <w:spacing w:after="0" w:line="254" w:lineRule="auto"/>
        <w:ind w:firstLine="284"/>
        <w:jc w:val="both"/>
        <w:rPr>
          <w:rFonts w:cs="Abz-2 (Badr)"/>
          <w:color w:val="000000" w:themeColor="text1"/>
          <w:sz w:val="28"/>
          <w:szCs w:val="28"/>
          <w:rtl/>
          <w:lang w:bidi="fa-IR"/>
        </w:rPr>
      </w:pPr>
      <w:r>
        <w:rPr>
          <w:rFonts w:cs="Abz-2 (Badr)" w:hint="cs"/>
          <w:color w:val="000000" w:themeColor="text1"/>
          <w:sz w:val="28"/>
          <w:szCs w:val="28"/>
          <w:rtl/>
          <w:lang w:bidi="fa-IR"/>
        </w:rPr>
        <w:t>اما آنچه که شهيد ثانی فرموده است مبنی بر اين که اصل در حقوق مالی بر شغل ذمه است، جلسه آينده متعرّض بيان امکان التزام به آن و يا عدم امکان آن می</w:t>
      </w:r>
      <w:r>
        <w:rPr>
          <w:rFonts w:cs="Abz-2 (Badr)"/>
          <w:color w:val="000000" w:themeColor="text1"/>
          <w:sz w:val="28"/>
          <w:szCs w:val="28"/>
          <w:rtl/>
          <w:lang w:bidi="fa-IR"/>
        </w:rPr>
        <w:softHyphen/>
      </w:r>
      <w:r>
        <w:rPr>
          <w:rFonts w:cs="Abz-2 (Badr)" w:hint="cs"/>
          <w:color w:val="000000" w:themeColor="text1"/>
          <w:sz w:val="28"/>
          <w:szCs w:val="28"/>
          <w:rtl/>
          <w:lang w:bidi="fa-IR"/>
        </w:rPr>
        <w:t>شويم ان شاء الله.</w:t>
      </w:r>
    </w:p>
    <w:p w14:paraId="5E18D45A" w14:textId="77777777" w:rsidR="00985872" w:rsidRDefault="00985872" w:rsidP="00985872">
      <w:pPr>
        <w:rPr>
          <w:rFonts w:cs="Abz-2 (Badr)"/>
          <w:color w:val="000000" w:themeColor="text1"/>
          <w:sz w:val="28"/>
          <w:szCs w:val="28"/>
          <w:rtl/>
          <w:lang w:bidi="fa-IR"/>
        </w:rPr>
      </w:pPr>
      <w:r>
        <w:rPr>
          <w:rFonts w:cs="Abz-2 (Badr)"/>
          <w:color w:val="000000" w:themeColor="text1"/>
          <w:sz w:val="28"/>
          <w:szCs w:val="28"/>
          <w:rtl/>
          <w:lang w:bidi="fa-IR"/>
        </w:rPr>
        <w:br w:type="page"/>
      </w:r>
    </w:p>
    <w:p w14:paraId="79977462" w14:textId="77777777" w:rsidR="00985872" w:rsidRPr="007306CB" w:rsidRDefault="00985872" w:rsidP="00985872">
      <w:pPr>
        <w:widowControl w:val="0"/>
        <w:bidi/>
        <w:spacing w:after="0" w:line="254" w:lineRule="auto"/>
        <w:ind w:firstLine="284"/>
        <w:jc w:val="both"/>
        <w:rPr>
          <w:rFonts w:cs="Abz-2 (Badr)"/>
          <w:color w:val="0070C0"/>
          <w:sz w:val="28"/>
          <w:szCs w:val="28"/>
          <w:rtl/>
          <w:lang w:bidi="ar"/>
        </w:rPr>
      </w:pPr>
      <w:r w:rsidRPr="00045A18">
        <w:rPr>
          <w:rFonts w:cs="Abz-2 (Badr)"/>
          <w:color w:val="000000" w:themeColor="text1"/>
          <w:sz w:val="28"/>
          <w:szCs w:val="28"/>
          <w:rtl/>
        </w:rPr>
        <w:lastRenderedPageBreak/>
        <w:t xml:space="preserve">يورد </w:t>
      </w:r>
      <w:r>
        <w:rPr>
          <w:rFonts w:cs="Abz-2 (Badr)" w:hint="cs"/>
          <w:color w:val="000000" w:themeColor="text1"/>
          <w:sz w:val="28"/>
          <w:szCs w:val="28"/>
          <w:rtl/>
        </w:rPr>
        <w:t xml:space="preserve">السيّد الخميني </w:t>
      </w:r>
      <w:r w:rsidRPr="00045A18">
        <w:rPr>
          <w:rFonts w:cs="Abz-2 (Badr)"/>
          <w:color w:val="000000" w:themeColor="text1"/>
          <w:sz w:val="28"/>
          <w:szCs w:val="28"/>
          <w:rtl/>
        </w:rPr>
        <w:t>إشكالاً على القول بعدم جواز إباحة جميع التصرّفات المالكيّة من دون تمليك العين في فرض عدم وجود دليل شرعي خاصّ في المورد فيقول</w:t>
      </w:r>
      <w:r>
        <w:rPr>
          <w:rFonts w:cs="Abz-2 (Badr)" w:hint="cs"/>
          <w:color w:val="000000" w:themeColor="text1"/>
          <w:sz w:val="28"/>
          <w:szCs w:val="28"/>
          <w:rtl/>
          <w:lang w:bidi="fa-IR"/>
        </w:rPr>
        <w:t xml:space="preserve">: </w:t>
      </w:r>
      <w:r w:rsidRPr="00CD3BBE">
        <w:rPr>
          <w:rFonts w:cs="Abz-2 (Badr)" w:hint="cs"/>
          <w:color w:val="0070C0"/>
          <w:sz w:val="28"/>
          <w:szCs w:val="28"/>
          <w:rtl/>
          <w:lang w:bidi="fa-IR"/>
        </w:rPr>
        <w:t>«</w:t>
      </w:r>
      <w:r w:rsidRPr="007306CB">
        <w:rPr>
          <w:rFonts w:cs="Abz-2 (Badr)"/>
          <w:color w:val="0070C0"/>
          <w:sz w:val="28"/>
          <w:szCs w:val="28"/>
          <w:rtl/>
          <w:lang w:bidi="ar"/>
        </w:rPr>
        <w:t xml:space="preserve">هل تكون إباحة جميع التصرّفات </w:t>
      </w:r>
      <w:r w:rsidRPr="00CD3BBE">
        <w:rPr>
          <w:rFonts w:cs="Abz-2 (Badr)" w:hint="cs"/>
          <w:color w:val="0070C0"/>
          <w:sz w:val="28"/>
          <w:szCs w:val="28"/>
          <w:rtl/>
          <w:lang w:bidi="ar"/>
        </w:rPr>
        <w:t>ـ</w:t>
      </w:r>
      <w:r w:rsidRPr="007306CB">
        <w:rPr>
          <w:rFonts w:cs="Abz-2 (Badr)"/>
          <w:color w:val="0070C0"/>
          <w:sz w:val="28"/>
          <w:szCs w:val="28"/>
          <w:rtl/>
          <w:lang w:bidi="ar"/>
        </w:rPr>
        <w:t xml:space="preserve"> أي</w:t>
      </w:r>
      <w:r w:rsidRPr="00CD3BBE">
        <w:rPr>
          <w:rFonts w:cs="Abz-2 (Badr)" w:hint="cs"/>
          <w:color w:val="0070C0"/>
          <w:sz w:val="28"/>
          <w:szCs w:val="28"/>
          <w:rtl/>
          <w:lang w:bidi="ar"/>
        </w:rPr>
        <w:t xml:space="preserve">: </w:t>
      </w:r>
      <w:r w:rsidRPr="007306CB">
        <w:rPr>
          <w:rFonts w:cs="Abz-2 (Badr)"/>
          <w:color w:val="0070C0"/>
          <w:sz w:val="28"/>
          <w:szCs w:val="28"/>
          <w:rtl/>
          <w:lang w:bidi="ar"/>
        </w:rPr>
        <w:t xml:space="preserve">كلّ‌ ما يكون للمالك </w:t>
      </w:r>
      <w:r w:rsidRPr="00CD3BBE">
        <w:rPr>
          <w:rFonts w:cs="Abz-2 (Badr)" w:hint="cs"/>
          <w:color w:val="0070C0"/>
          <w:sz w:val="28"/>
          <w:szCs w:val="28"/>
          <w:rtl/>
          <w:lang w:bidi="ar"/>
        </w:rPr>
        <w:t>ـ</w:t>
      </w:r>
      <w:r w:rsidRPr="007306CB">
        <w:rPr>
          <w:rFonts w:cs="Abz-2 (Badr)"/>
          <w:color w:val="0070C0"/>
          <w:sz w:val="28"/>
          <w:szCs w:val="28"/>
          <w:rtl/>
          <w:lang w:bidi="ar"/>
        </w:rPr>
        <w:t xml:space="preserve"> لشخص، مستلزمة لانتزاع ملكي</w:t>
      </w:r>
      <w:r w:rsidRPr="00CD3BBE">
        <w:rPr>
          <w:rFonts w:cs="Abz-2 (Badr)" w:hint="cs"/>
          <w:color w:val="0070C0"/>
          <w:sz w:val="28"/>
          <w:szCs w:val="28"/>
          <w:rtl/>
          <w:lang w:bidi="ar"/>
        </w:rPr>
        <w:t>ّ</w:t>
      </w:r>
      <w:r w:rsidRPr="007306CB">
        <w:rPr>
          <w:rFonts w:cs="Abz-2 (Badr)"/>
          <w:color w:val="0070C0"/>
          <w:sz w:val="28"/>
          <w:szCs w:val="28"/>
          <w:rtl/>
          <w:lang w:bidi="ar"/>
        </w:rPr>
        <w:t>ته‌؟</w:t>
      </w:r>
      <w:r w:rsidRPr="00CD3BBE">
        <w:rPr>
          <w:rFonts w:cs="Abz-2 (Badr)" w:hint="cs"/>
          <w:color w:val="0070C0"/>
          <w:sz w:val="28"/>
          <w:szCs w:val="28"/>
          <w:rtl/>
          <w:lang w:bidi="ar"/>
        </w:rPr>
        <w:t xml:space="preserve"> </w:t>
      </w:r>
      <w:r w:rsidRPr="007306CB">
        <w:rPr>
          <w:rFonts w:cs="Abz-2 (Badr)"/>
          <w:color w:val="0070C0"/>
          <w:sz w:val="28"/>
          <w:szCs w:val="28"/>
          <w:rtl/>
          <w:lang w:bidi="ar"/>
        </w:rPr>
        <w:t>بأن يقال: إنّ‌ الملك في نظر العقلاء إنّما يعتبر بلحاظ الآثار، ولا يعتبره العقلاء فيما لا أثر له مطلقاً، فكما أنّ‌ سلب مطلق الأثر عن شيء بالنسبة إلى شخص يوجب سلب ملكي</w:t>
      </w:r>
      <w:r w:rsidRPr="00CD3BBE">
        <w:rPr>
          <w:rFonts w:cs="Abz-2 (Badr)" w:hint="cs"/>
          <w:color w:val="0070C0"/>
          <w:sz w:val="28"/>
          <w:szCs w:val="28"/>
          <w:rtl/>
          <w:lang w:bidi="ar"/>
        </w:rPr>
        <w:t>ّ</w:t>
      </w:r>
      <w:r w:rsidRPr="007306CB">
        <w:rPr>
          <w:rFonts w:cs="Abz-2 (Badr)"/>
          <w:color w:val="0070C0"/>
          <w:sz w:val="28"/>
          <w:szCs w:val="28"/>
          <w:rtl/>
          <w:lang w:bidi="ar"/>
        </w:rPr>
        <w:t xml:space="preserve">ته وعدم اعتبارها له </w:t>
      </w:r>
      <w:r w:rsidRPr="00CD3BBE">
        <w:rPr>
          <w:rFonts w:cs="Abz-2 (Badr)" w:hint="cs"/>
          <w:color w:val="0070C0"/>
          <w:sz w:val="28"/>
          <w:szCs w:val="28"/>
          <w:rtl/>
          <w:lang w:bidi="ar"/>
        </w:rPr>
        <w:t>ـ</w:t>
      </w:r>
      <w:r w:rsidRPr="007306CB">
        <w:rPr>
          <w:rFonts w:cs="Abz-2 (Badr)"/>
          <w:color w:val="0070C0"/>
          <w:sz w:val="28"/>
          <w:szCs w:val="28"/>
          <w:rtl/>
          <w:lang w:bidi="ar"/>
        </w:rPr>
        <w:t xml:space="preserve"> لأنّ‌ اعتبارها بلحاظ الآثار، فما لا أثر له مطلقاً لا حالاً ولا استقبالاً، لا يكون ملكاً في اعتبارهم </w:t>
      </w:r>
      <w:r w:rsidRPr="00CD3BBE">
        <w:rPr>
          <w:rFonts w:cs="Abz-2 (Badr)" w:hint="cs"/>
          <w:color w:val="0070C0"/>
          <w:sz w:val="28"/>
          <w:szCs w:val="28"/>
          <w:rtl/>
          <w:lang w:bidi="ar"/>
        </w:rPr>
        <w:t>ـ</w:t>
      </w:r>
      <w:r w:rsidRPr="007306CB">
        <w:rPr>
          <w:rFonts w:cs="Abz-2 (Badr)"/>
          <w:color w:val="0070C0"/>
          <w:sz w:val="28"/>
          <w:szCs w:val="28"/>
          <w:rtl/>
          <w:lang w:bidi="ar"/>
        </w:rPr>
        <w:t xml:space="preserve"> كذلك إثبات جميع آثار الملكي</w:t>
      </w:r>
      <w:r w:rsidRPr="00CD3BBE">
        <w:rPr>
          <w:rFonts w:cs="Abz-2 (Badr)" w:hint="cs"/>
          <w:color w:val="0070C0"/>
          <w:sz w:val="28"/>
          <w:szCs w:val="28"/>
          <w:rtl/>
          <w:lang w:bidi="ar"/>
        </w:rPr>
        <w:t>ّ</w:t>
      </w:r>
      <w:r w:rsidRPr="007306CB">
        <w:rPr>
          <w:rFonts w:cs="Abz-2 (Badr)"/>
          <w:color w:val="0070C0"/>
          <w:sz w:val="28"/>
          <w:szCs w:val="28"/>
          <w:rtl/>
          <w:lang w:bidi="ar"/>
        </w:rPr>
        <w:t>ة لشخص يوجب اعتبارها له.</w:t>
      </w:r>
    </w:p>
    <w:p w14:paraId="4258BED3" w14:textId="77777777" w:rsidR="00985872" w:rsidRPr="007306CB" w:rsidRDefault="00985872" w:rsidP="00985872">
      <w:pPr>
        <w:widowControl w:val="0"/>
        <w:bidi/>
        <w:spacing w:after="0" w:line="254" w:lineRule="auto"/>
        <w:ind w:firstLine="284"/>
        <w:jc w:val="both"/>
        <w:rPr>
          <w:rFonts w:cs="Abz-2 (Badr)"/>
          <w:color w:val="0070C0"/>
          <w:sz w:val="28"/>
          <w:szCs w:val="28"/>
          <w:rtl/>
          <w:lang w:bidi="ar"/>
        </w:rPr>
      </w:pPr>
      <w:r w:rsidRPr="007306CB">
        <w:rPr>
          <w:rFonts w:cs="Abz-2 (Badr)"/>
          <w:color w:val="0070C0"/>
          <w:sz w:val="28"/>
          <w:szCs w:val="28"/>
          <w:rtl/>
          <w:lang w:bidi="ar"/>
        </w:rPr>
        <w:t xml:space="preserve">فإذا أباح المالك جميع التصرّفات التي هي له لغيره، يكون ذلك عبارة </w:t>
      </w:r>
      <w:r w:rsidRPr="00CD3BBE">
        <w:rPr>
          <w:rFonts w:cs="Abz-2 (Badr)" w:hint="cs"/>
          <w:color w:val="0070C0"/>
          <w:sz w:val="28"/>
          <w:szCs w:val="28"/>
          <w:rtl/>
          <w:lang w:bidi="ar"/>
        </w:rPr>
        <w:t>أُ</w:t>
      </w:r>
      <w:r w:rsidRPr="007306CB">
        <w:rPr>
          <w:rFonts w:cs="Abz-2 (Badr)"/>
          <w:color w:val="0070C0"/>
          <w:sz w:val="28"/>
          <w:szCs w:val="28"/>
          <w:rtl/>
          <w:lang w:bidi="ar"/>
        </w:rPr>
        <w:t>خرى من التمليك، بحيث لو صرّح مع ذلك بعدم التمليك، يعدّ تناقضاً</w:t>
      </w:r>
      <w:r w:rsidRPr="00CD3BBE">
        <w:rPr>
          <w:rFonts w:cs="Abz-2 (Badr)" w:hint="cs"/>
          <w:color w:val="0070C0"/>
          <w:sz w:val="28"/>
          <w:szCs w:val="28"/>
          <w:rtl/>
          <w:lang w:bidi="ar"/>
        </w:rPr>
        <w:t>...</w:t>
      </w:r>
    </w:p>
    <w:p w14:paraId="619D7BCB" w14:textId="77777777" w:rsidR="00985872" w:rsidRPr="007306CB" w:rsidRDefault="00985872" w:rsidP="00985872">
      <w:pPr>
        <w:widowControl w:val="0"/>
        <w:bidi/>
        <w:spacing w:after="0" w:line="254" w:lineRule="auto"/>
        <w:ind w:firstLine="284"/>
        <w:jc w:val="both"/>
        <w:rPr>
          <w:rFonts w:cs="Abz-2 (Badr)"/>
          <w:color w:val="0070C0"/>
          <w:sz w:val="28"/>
          <w:szCs w:val="28"/>
          <w:rtl/>
          <w:lang w:bidi="ar"/>
        </w:rPr>
      </w:pPr>
      <w:r w:rsidRPr="007306CB">
        <w:rPr>
          <w:rFonts w:cs="Abz-2 (Badr)"/>
          <w:color w:val="0070C0"/>
          <w:sz w:val="28"/>
          <w:szCs w:val="28"/>
          <w:rtl/>
          <w:lang w:bidi="ar"/>
        </w:rPr>
        <w:t>لكنّ‌ التحقيق أنّ‌ هذه الإباحة لا ترجع إلى التمليك، ولا تنتزع الملكي</w:t>
      </w:r>
      <w:r w:rsidRPr="00CD3BBE">
        <w:rPr>
          <w:rFonts w:cs="Abz-2 (Badr)" w:hint="cs"/>
          <w:color w:val="0070C0"/>
          <w:sz w:val="28"/>
          <w:szCs w:val="28"/>
          <w:rtl/>
          <w:lang w:bidi="ar"/>
        </w:rPr>
        <w:t>ّ</w:t>
      </w:r>
      <w:r w:rsidRPr="007306CB">
        <w:rPr>
          <w:rFonts w:cs="Abz-2 (Badr)"/>
          <w:color w:val="0070C0"/>
          <w:sz w:val="28"/>
          <w:szCs w:val="28"/>
          <w:rtl/>
          <w:lang w:bidi="ar"/>
        </w:rPr>
        <w:t>ة منها عرفاً؛ فإنّ‌ إباحته كذلك لا ترجع إلى سلب أنحاء التصرّفات عن المالك، ولهذا تصحّ‌ الإباحة المطلقة لأشخاص متعدّدين، مع أنّ‌ ملكي</w:t>
      </w:r>
      <w:r w:rsidRPr="00CD3BBE">
        <w:rPr>
          <w:rFonts w:cs="Abz-2 (Badr)" w:hint="cs"/>
          <w:color w:val="0070C0"/>
          <w:sz w:val="28"/>
          <w:szCs w:val="28"/>
          <w:rtl/>
          <w:lang w:bidi="ar"/>
        </w:rPr>
        <w:t>ّ</w:t>
      </w:r>
      <w:r w:rsidRPr="007306CB">
        <w:rPr>
          <w:rFonts w:cs="Abz-2 (Badr)"/>
          <w:color w:val="0070C0"/>
          <w:sz w:val="28"/>
          <w:szCs w:val="28"/>
          <w:rtl/>
          <w:lang w:bidi="ar"/>
        </w:rPr>
        <w:t>ة تمام الشيء لا تعقل لأكثر من واحد، كما أنّ‌ إباحته كذلك لا توجب سلب جميع الآثار عن نفسه، فيجوز له المنع عن تصرّفاته والرجوع عن إباحته، ومعه لا تسلب علاقة ملكي</w:t>
      </w:r>
      <w:r w:rsidRPr="00CD3BBE">
        <w:rPr>
          <w:rFonts w:cs="Abz-2 (Badr)" w:hint="cs"/>
          <w:color w:val="0070C0"/>
          <w:sz w:val="28"/>
          <w:szCs w:val="28"/>
          <w:rtl/>
          <w:lang w:bidi="ar"/>
        </w:rPr>
        <w:t>ّ</w:t>
      </w:r>
      <w:r w:rsidRPr="007306CB">
        <w:rPr>
          <w:rFonts w:cs="Abz-2 (Badr)"/>
          <w:color w:val="0070C0"/>
          <w:sz w:val="28"/>
          <w:szCs w:val="28"/>
          <w:rtl/>
          <w:lang w:bidi="ar"/>
        </w:rPr>
        <w:t>ته.</w:t>
      </w:r>
    </w:p>
    <w:p w14:paraId="71A2FE19" w14:textId="77777777" w:rsidR="00985872" w:rsidRDefault="00985872" w:rsidP="00985872">
      <w:pPr>
        <w:widowControl w:val="0"/>
        <w:bidi/>
        <w:spacing w:after="0" w:line="254" w:lineRule="auto"/>
        <w:ind w:firstLine="284"/>
        <w:jc w:val="both"/>
        <w:rPr>
          <w:rFonts w:cs="Abz-2 (Badr)"/>
          <w:color w:val="0070C0"/>
          <w:sz w:val="28"/>
          <w:szCs w:val="28"/>
          <w:rtl/>
          <w:lang w:bidi="ar"/>
        </w:rPr>
      </w:pPr>
      <w:r w:rsidRPr="007306CB">
        <w:rPr>
          <w:rFonts w:cs="Abz-2 (Badr)"/>
          <w:color w:val="0070C0"/>
          <w:sz w:val="28"/>
          <w:szCs w:val="28"/>
          <w:rtl/>
          <w:lang w:bidi="ar"/>
        </w:rPr>
        <w:t>إلا أن يقال بالفرق بين الإباحة بلا عوض ومع العوض، فيلتزم بسلب</w:t>
      </w:r>
      <w:r w:rsidRPr="00CD3BBE">
        <w:rPr>
          <w:rFonts w:cs="Abz-2 (Badr)" w:hint="cs"/>
          <w:color w:val="0070C0"/>
          <w:sz w:val="28"/>
          <w:szCs w:val="28"/>
          <w:rtl/>
          <w:lang w:bidi="ar"/>
        </w:rPr>
        <w:t xml:space="preserve"> </w:t>
      </w:r>
      <w:r w:rsidRPr="007306CB">
        <w:rPr>
          <w:rFonts w:cs="Abz-2 (Badr)"/>
          <w:color w:val="0070C0"/>
          <w:sz w:val="28"/>
          <w:szCs w:val="28"/>
          <w:rtl/>
          <w:lang w:bidi="ar"/>
        </w:rPr>
        <w:t>الملكي</w:t>
      </w:r>
      <w:r w:rsidRPr="00CD3BBE">
        <w:rPr>
          <w:rFonts w:cs="Abz-2 (Badr)" w:hint="cs"/>
          <w:color w:val="0070C0"/>
          <w:sz w:val="28"/>
          <w:szCs w:val="28"/>
          <w:rtl/>
          <w:lang w:bidi="ar"/>
        </w:rPr>
        <w:t>ّ</w:t>
      </w:r>
      <w:r w:rsidRPr="007306CB">
        <w:rPr>
          <w:rFonts w:cs="Abz-2 (Badr)"/>
          <w:color w:val="0070C0"/>
          <w:sz w:val="28"/>
          <w:szCs w:val="28"/>
          <w:rtl/>
          <w:lang w:bidi="ar"/>
        </w:rPr>
        <w:t>ة عن المبيح وثبوتها للمباح له في الإباحة المطلقة المعوّضة</w:t>
      </w:r>
      <w:r w:rsidRPr="00CD3BBE">
        <w:rPr>
          <w:rFonts w:cs="Abz-2 (Badr)" w:hint="cs"/>
          <w:color w:val="0070C0"/>
          <w:sz w:val="28"/>
          <w:szCs w:val="28"/>
          <w:rtl/>
          <w:lang w:bidi="ar"/>
        </w:rPr>
        <w:t>...»</w:t>
      </w:r>
      <w:r w:rsidRPr="001F44B4">
        <w:rPr>
          <w:rStyle w:val="FootnoteReference"/>
          <w:rFonts w:cs="Abz-2 (Badr)"/>
          <w:color w:val="000000" w:themeColor="text1"/>
          <w:sz w:val="28"/>
          <w:szCs w:val="28"/>
          <w:rtl/>
          <w:lang w:bidi="ar"/>
        </w:rPr>
        <w:footnoteReference w:id="3"/>
      </w:r>
    </w:p>
    <w:p w14:paraId="14FAFFBE" w14:textId="77777777" w:rsidR="00985872" w:rsidRPr="00045A18" w:rsidRDefault="00985872" w:rsidP="00985872">
      <w:pPr>
        <w:widowControl w:val="0"/>
        <w:bidi/>
        <w:spacing w:after="0" w:line="254" w:lineRule="auto"/>
        <w:ind w:firstLine="284"/>
        <w:jc w:val="both"/>
        <w:rPr>
          <w:rFonts w:cs="Abz-2 (Badr)"/>
          <w:color w:val="000000" w:themeColor="text1"/>
          <w:sz w:val="28"/>
          <w:szCs w:val="28"/>
        </w:rPr>
      </w:pPr>
      <w:r w:rsidRPr="00045A18">
        <w:rPr>
          <w:rFonts w:cs="Abz-2 (Badr)"/>
          <w:color w:val="000000" w:themeColor="text1"/>
          <w:sz w:val="28"/>
          <w:szCs w:val="28"/>
          <w:rtl/>
        </w:rPr>
        <w:t xml:space="preserve">وبحسب مدّعاه، فإنّ إباحة التصرّفات المالكيّة لغير المالك من قبل المالك ليست متوقّفةً على وجود دليل شرعي </w:t>
      </w:r>
      <w:r>
        <w:rPr>
          <w:rFonts w:cs="Abz-2 (Badr)" w:hint="cs"/>
          <w:color w:val="000000" w:themeColor="text1"/>
          <w:sz w:val="28"/>
          <w:szCs w:val="28"/>
          <w:rtl/>
        </w:rPr>
        <w:t>يجوّزه</w:t>
      </w:r>
      <w:r w:rsidRPr="00045A18">
        <w:rPr>
          <w:rFonts w:cs="Abz-2 (Badr)"/>
          <w:color w:val="000000" w:themeColor="text1"/>
          <w:sz w:val="28"/>
          <w:szCs w:val="28"/>
          <w:rtl/>
        </w:rPr>
        <w:t>، بل هي أمر معقول في نفسه ولا يوجد في الأدلّة الشرعيّة ما يمنع منها</w:t>
      </w:r>
      <w:r>
        <w:rPr>
          <w:rFonts w:cs="Abz-2 (Badr)" w:hint="cs"/>
          <w:color w:val="000000" w:themeColor="text1"/>
          <w:sz w:val="28"/>
          <w:szCs w:val="28"/>
          <w:rtl/>
        </w:rPr>
        <w:t>.</w:t>
      </w:r>
    </w:p>
    <w:p w14:paraId="7C31DCD5" w14:textId="77777777" w:rsidR="00985872" w:rsidRDefault="00985872" w:rsidP="00985872">
      <w:pPr>
        <w:widowControl w:val="0"/>
        <w:bidi/>
        <w:spacing w:after="0" w:line="254" w:lineRule="auto"/>
        <w:ind w:firstLine="284"/>
        <w:jc w:val="both"/>
        <w:rPr>
          <w:rFonts w:cs="Abz-2 (Badr)"/>
          <w:color w:val="000000" w:themeColor="text1"/>
          <w:sz w:val="28"/>
          <w:szCs w:val="28"/>
          <w:rtl/>
        </w:rPr>
      </w:pPr>
      <w:r w:rsidRPr="00045A18">
        <w:rPr>
          <w:rFonts w:cs="Abz-2 (Badr)"/>
          <w:color w:val="000000" w:themeColor="text1"/>
          <w:sz w:val="28"/>
          <w:szCs w:val="28"/>
          <w:rtl/>
        </w:rPr>
        <w:t>غير أنّ تنقيح هذا المطلب وبيان حدوده موكول إلى مباحث كتاب البيع</w:t>
      </w:r>
      <w:r>
        <w:rPr>
          <w:rFonts w:cs="Abz-2 (Badr)" w:hint="cs"/>
          <w:color w:val="000000" w:themeColor="text1"/>
          <w:sz w:val="28"/>
          <w:szCs w:val="28"/>
          <w:rtl/>
        </w:rPr>
        <w:t>.</w:t>
      </w:r>
    </w:p>
    <w:p w14:paraId="1FF1DC27" w14:textId="77777777" w:rsidR="00985872" w:rsidRPr="00045A18" w:rsidRDefault="00985872" w:rsidP="00985872">
      <w:pPr>
        <w:widowControl w:val="0"/>
        <w:bidi/>
        <w:spacing w:after="0" w:line="254" w:lineRule="auto"/>
        <w:ind w:firstLine="284"/>
        <w:jc w:val="both"/>
        <w:rPr>
          <w:rFonts w:cs="Abz-2 (Badr)"/>
          <w:color w:val="000000" w:themeColor="text1"/>
          <w:sz w:val="28"/>
          <w:szCs w:val="28"/>
        </w:rPr>
      </w:pPr>
      <w:r w:rsidRPr="00045A18">
        <w:rPr>
          <w:rFonts w:cs="Abz-2 (Badr)"/>
          <w:color w:val="000000" w:themeColor="text1"/>
          <w:sz w:val="28"/>
          <w:szCs w:val="28"/>
          <w:rtl/>
        </w:rPr>
        <w:t>وعلى أيّ حال، لا إشكال في أنّه ـ بناءً على كلا القولين ـ حيث إنّ الدليل الخاصّ في المقام يدلّ على جواز تصرّف الزوجة في النفقة على نحو مطلق، يمكن الالتزام بجواز الإباحة المطلقة ولا يبقى وجه لإثبات ملكيّة الزوجة للنفقة</w:t>
      </w:r>
      <w:r>
        <w:rPr>
          <w:rFonts w:cs="Abz-2 (Badr)" w:hint="cs"/>
          <w:color w:val="000000" w:themeColor="text1"/>
          <w:sz w:val="28"/>
          <w:szCs w:val="28"/>
          <w:rtl/>
        </w:rPr>
        <w:t>.</w:t>
      </w:r>
    </w:p>
    <w:p w14:paraId="1C9798EA" w14:textId="77777777" w:rsidR="00985872" w:rsidRPr="00045A18" w:rsidRDefault="00985872" w:rsidP="00985872">
      <w:pPr>
        <w:widowControl w:val="0"/>
        <w:bidi/>
        <w:spacing w:after="0" w:line="254" w:lineRule="auto"/>
        <w:ind w:firstLine="284"/>
        <w:jc w:val="both"/>
        <w:rPr>
          <w:rFonts w:cs="Abz-2 (Badr)"/>
          <w:color w:val="000000" w:themeColor="text1"/>
          <w:sz w:val="28"/>
          <w:szCs w:val="28"/>
        </w:rPr>
      </w:pPr>
      <w:r w:rsidRPr="00045A18">
        <w:rPr>
          <w:rFonts w:cs="Abz-2 (Badr)"/>
          <w:color w:val="000000" w:themeColor="text1"/>
          <w:sz w:val="28"/>
          <w:szCs w:val="28"/>
          <w:rtl/>
        </w:rPr>
        <w:lastRenderedPageBreak/>
        <w:t xml:space="preserve">وأمّا الإجماع، فحيث إنّه مدركي أو </w:t>
      </w:r>
      <w:r>
        <w:rPr>
          <w:rFonts w:cs="Abz-2 (Badr)" w:hint="cs"/>
          <w:color w:val="000000" w:themeColor="text1"/>
          <w:sz w:val="28"/>
          <w:szCs w:val="28"/>
          <w:rtl/>
        </w:rPr>
        <w:t xml:space="preserve">لا أقلّ من أنّ </w:t>
      </w:r>
      <w:r w:rsidRPr="00045A18">
        <w:rPr>
          <w:rFonts w:cs="Abz-2 (Badr)"/>
          <w:color w:val="000000" w:themeColor="text1"/>
          <w:sz w:val="28"/>
          <w:szCs w:val="28"/>
          <w:rtl/>
        </w:rPr>
        <w:t>احتمال كونه مدركيّاً قوي</w:t>
      </w:r>
      <w:r>
        <w:rPr>
          <w:rFonts w:cs="Abz-2 (Badr)" w:hint="cs"/>
          <w:color w:val="000000" w:themeColor="text1"/>
          <w:sz w:val="28"/>
          <w:szCs w:val="28"/>
          <w:rtl/>
        </w:rPr>
        <w:t>ّ جدّاً</w:t>
      </w:r>
      <w:r w:rsidRPr="00045A18">
        <w:rPr>
          <w:rFonts w:cs="Abz-2 (Badr)"/>
          <w:color w:val="000000" w:themeColor="text1"/>
          <w:sz w:val="28"/>
          <w:szCs w:val="28"/>
          <w:rtl/>
        </w:rPr>
        <w:t>، فلا يكون ذا اعتبار</w:t>
      </w:r>
      <w:r>
        <w:rPr>
          <w:rFonts w:cs="Abz-2 (Badr)" w:hint="cs"/>
          <w:color w:val="000000" w:themeColor="text1"/>
          <w:sz w:val="28"/>
          <w:szCs w:val="28"/>
          <w:rtl/>
        </w:rPr>
        <w:t>.</w:t>
      </w:r>
    </w:p>
    <w:p w14:paraId="7ED20D30" w14:textId="77777777" w:rsidR="00985872" w:rsidRPr="00045A18" w:rsidRDefault="00985872" w:rsidP="00985872">
      <w:pPr>
        <w:widowControl w:val="0"/>
        <w:bidi/>
        <w:spacing w:after="0" w:line="254" w:lineRule="auto"/>
        <w:ind w:firstLine="284"/>
        <w:jc w:val="both"/>
        <w:rPr>
          <w:rFonts w:cs="Abz-2 (Badr)"/>
          <w:color w:val="000000" w:themeColor="text1"/>
          <w:sz w:val="28"/>
          <w:szCs w:val="28"/>
        </w:rPr>
      </w:pPr>
      <w:r>
        <w:rPr>
          <w:rFonts w:cs="Abz-2 (Badr)" w:hint="cs"/>
          <w:color w:val="000000" w:themeColor="text1"/>
          <w:sz w:val="28"/>
          <w:szCs w:val="28"/>
          <w:rtl/>
        </w:rPr>
        <w:t xml:space="preserve">اللهمّ </w:t>
      </w:r>
      <w:r w:rsidRPr="00045A18">
        <w:rPr>
          <w:rFonts w:cs="Abz-2 (Badr)"/>
          <w:color w:val="000000" w:themeColor="text1"/>
          <w:sz w:val="28"/>
          <w:szCs w:val="28"/>
          <w:rtl/>
        </w:rPr>
        <w:t>إلّا أن يدّعى أنّ الأصل في الحقوق الماليّة هو الملكيّة، وأنّ الشارع كلّما جعل حقّاً ماليّاً لشخص ما</w:t>
      </w:r>
      <w:r>
        <w:rPr>
          <w:rFonts w:cs="Abz-2 (Badr)" w:hint="cs"/>
          <w:color w:val="000000" w:themeColor="text1"/>
          <w:sz w:val="28"/>
          <w:szCs w:val="28"/>
          <w:rtl/>
        </w:rPr>
        <w:t>،</w:t>
      </w:r>
      <w:r w:rsidRPr="00045A18">
        <w:rPr>
          <w:rFonts w:cs="Abz-2 (Badr)"/>
          <w:color w:val="000000" w:themeColor="text1"/>
          <w:sz w:val="28"/>
          <w:szCs w:val="28"/>
          <w:rtl/>
        </w:rPr>
        <w:t xml:space="preserve"> كان مقتضى ذلك ملكيّة ذي الحقّ له ما لم يدلّ دليل على خلافه</w:t>
      </w:r>
      <w:r>
        <w:rPr>
          <w:rFonts w:cs="Abz-2 (Badr)" w:hint="cs"/>
          <w:color w:val="000000" w:themeColor="text1"/>
          <w:sz w:val="28"/>
          <w:szCs w:val="28"/>
          <w:rtl/>
        </w:rPr>
        <w:t>.</w:t>
      </w:r>
    </w:p>
    <w:p w14:paraId="5B50F5E1" w14:textId="77777777" w:rsidR="00985872" w:rsidRDefault="00985872" w:rsidP="00985872">
      <w:pPr>
        <w:widowControl w:val="0"/>
        <w:bidi/>
        <w:spacing w:after="0" w:line="254" w:lineRule="auto"/>
        <w:ind w:firstLine="284"/>
        <w:jc w:val="both"/>
        <w:rPr>
          <w:rFonts w:cs="Abz-2 (Badr)"/>
          <w:color w:val="000000" w:themeColor="text1"/>
          <w:sz w:val="28"/>
          <w:szCs w:val="28"/>
          <w:rtl/>
          <w:lang w:bidi="ar"/>
        </w:rPr>
      </w:pPr>
      <w:r>
        <w:rPr>
          <w:rFonts w:cs="Abz-2 (Badr)" w:hint="cs"/>
          <w:color w:val="000000" w:themeColor="text1"/>
          <w:sz w:val="28"/>
          <w:szCs w:val="28"/>
          <w:rtl/>
          <w:lang w:bidi="ar"/>
        </w:rPr>
        <w:t xml:space="preserve">قال الشهيد الثاني في هذا المجال: </w:t>
      </w:r>
      <w:r w:rsidRPr="00FF48EF">
        <w:rPr>
          <w:rFonts w:cs="Abz-2 (Badr)" w:hint="cs"/>
          <w:color w:val="0070C0"/>
          <w:sz w:val="28"/>
          <w:szCs w:val="28"/>
          <w:rtl/>
          <w:lang w:bidi="ar"/>
        </w:rPr>
        <w:t>«إ</w:t>
      </w:r>
      <w:r w:rsidRPr="00FA52A6">
        <w:rPr>
          <w:rFonts w:cs="Abz-2 (Badr)"/>
          <w:color w:val="0070C0"/>
          <w:sz w:val="28"/>
          <w:szCs w:val="28"/>
          <w:rtl/>
          <w:lang w:bidi="ar"/>
        </w:rPr>
        <w:t>ن</w:t>
      </w:r>
      <w:r w:rsidRPr="00FA52A6">
        <w:rPr>
          <w:rFonts w:cs="Abz-2 (Badr)" w:hint="cs"/>
          <w:color w:val="0070C0"/>
          <w:sz w:val="28"/>
          <w:szCs w:val="28"/>
          <w:rtl/>
          <w:lang w:bidi="ar"/>
        </w:rPr>
        <w:t>ّ</w:t>
      </w:r>
      <w:r w:rsidRPr="00FA52A6">
        <w:rPr>
          <w:rFonts w:cs="Abz-2 (Badr)"/>
          <w:color w:val="0070C0"/>
          <w:sz w:val="28"/>
          <w:szCs w:val="28"/>
          <w:rtl/>
          <w:lang w:bidi="ar"/>
        </w:rPr>
        <w:t xml:space="preserve"> النفقة حقّ‌ مالي‌، والأصل فيه وجوب القضاء، خرج القريب من ذلك بدليل خارج، لأن</w:t>
      </w:r>
      <w:r w:rsidRPr="00FA52A6">
        <w:rPr>
          <w:rFonts w:cs="Abz-2 (Badr)" w:hint="cs"/>
          <w:color w:val="0070C0"/>
          <w:sz w:val="28"/>
          <w:szCs w:val="28"/>
          <w:rtl/>
          <w:lang w:bidi="ar"/>
        </w:rPr>
        <w:t>ّ</w:t>
      </w:r>
      <w:r w:rsidRPr="00FA52A6">
        <w:rPr>
          <w:rFonts w:cs="Abz-2 (Badr)"/>
          <w:color w:val="0070C0"/>
          <w:sz w:val="28"/>
          <w:szCs w:val="28"/>
          <w:rtl/>
          <w:lang w:bidi="ar"/>
        </w:rPr>
        <w:t>ها معونة لسدّ الخلّة</w:t>
      </w:r>
      <w:r w:rsidRPr="00FA52A6">
        <w:rPr>
          <w:rFonts w:cs="Abz-2 (Badr)" w:hint="cs"/>
          <w:color w:val="0070C0"/>
          <w:sz w:val="28"/>
          <w:szCs w:val="28"/>
          <w:rtl/>
          <w:lang w:bidi="ar"/>
        </w:rPr>
        <w:t>،</w:t>
      </w:r>
      <w:r w:rsidRPr="00FA52A6">
        <w:rPr>
          <w:rFonts w:cs="Abz-2 (Badr)"/>
          <w:color w:val="0070C0"/>
          <w:sz w:val="28"/>
          <w:szCs w:val="28"/>
          <w:rtl/>
          <w:lang w:bidi="ar"/>
        </w:rPr>
        <w:t xml:space="preserve"> فيبقى الباقي على الأصل</w:t>
      </w:r>
      <w:r>
        <w:rPr>
          <w:rFonts w:cs="Abz-2 (Badr)" w:hint="cs"/>
          <w:color w:val="0070C0"/>
          <w:sz w:val="28"/>
          <w:szCs w:val="28"/>
          <w:rtl/>
          <w:lang w:bidi="ar"/>
        </w:rPr>
        <w:t>.»</w:t>
      </w:r>
      <w:r w:rsidRPr="001F44B4">
        <w:rPr>
          <w:rStyle w:val="FootnoteReference"/>
          <w:rFonts w:cs="Abz-2 (Badr)"/>
          <w:color w:val="000000" w:themeColor="text1"/>
          <w:sz w:val="28"/>
          <w:szCs w:val="28"/>
          <w:rtl/>
          <w:lang w:bidi="ar"/>
        </w:rPr>
        <w:footnoteReference w:id="4"/>
      </w:r>
    </w:p>
    <w:p w14:paraId="4BF593ED" w14:textId="77777777" w:rsidR="00985872" w:rsidRPr="00045A18" w:rsidRDefault="00985872" w:rsidP="00985872">
      <w:pPr>
        <w:widowControl w:val="0"/>
        <w:bidi/>
        <w:spacing w:after="0" w:line="254" w:lineRule="auto"/>
        <w:ind w:firstLine="284"/>
        <w:jc w:val="both"/>
        <w:rPr>
          <w:rFonts w:cs="Abz-2 (Badr)"/>
          <w:color w:val="000000" w:themeColor="text1"/>
          <w:sz w:val="28"/>
          <w:szCs w:val="28"/>
        </w:rPr>
      </w:pPr>
      <w:r>
        <w:rPr>
          <w:rFonts w:cs="Abz-2 (Badr)" w:hint="cs"/>
          <w:color w:val="000000" w:themeColor="text1"/>
          <w:sz w:val="28"/>
          <w:szCs w:val="28"/>
          <w:rtl/>
        </w:rPr>
        <w:t>ف</w:t>
      </w:r>
      <w:r w:rsidRPr="00045A18">
        <w:rPr>
          <w:rFonts w:cs="Abz-2 (Badr)"/>
          <w:color w:val="000000" w:themeColor="text1"/>
          <w:sz w:val="28"/>
          <w:szCs w:val="28"/>
          <w:rtl/>
        </w:rPr>
        <w:t>إنّ ما أفاده مبني</w:t>
      </w:r>
      <w:r>
        <w:rPr>
          <w:rFonts w:cs="Abz-2 (Badr)" w:hint="cs"/>
          <w:color w:val="000000" w:themeColor="text1"/>
          <w:sz w:val="28"/>
          <w:szCs w:val="28"/>
          <w:rtl/>
        </w:rPr>
        <w:t>ّ</w:t>
      </w:r>
      <w:r w:rsidRPr="00045A18">
        <w:rPr>
          <w:rFonts w:cs="Abz-2 (Badr)"/>
          <w:color w:val="000000" w:themeColor="text1"/>
          <w:sz w:val="28"/>
          <w:szCs w:val="28"/>
          <w:rtl/>
        </w:rPr>
        <w:t xml:space="preserve"> على استظهار عرفي من الأدلّة التي يجعل فيها حقّ مالي لشخص</w:t>
      </w:r>
      <w:r>
        <w:rPr>
          <w:rFonts w:cs="Abz-2 (Badr)" w:hint="cs"/>
          <w:color w:val="000000" w:themeColor="text1"/>
          <w:sz w:val="28"/>
          <w:szCs w:val="28"/>
          <w:rtl/>
        </w:rPr>
        <w:t xml:space="preserve"> </w:t>
      </w:r>
      <w:r w:rsidRPr="00045A18">
        <w:rPr>
          <w:rFonts w:cs="Abz-2 (Badr)"/>
          <w:color w:val="000000" w:themeColor="text1"/>
          <w:sz w:val="28"/>
          <w:szCs w:val="28"/>
          <w:rtl/>
        </w:rPr>
        <w:t>من قبل الشارع، بدعوى أنّ العرف يفهم من مثل ذلك ثبوت الملكيّة لا مجرّد الإباحة</w:t>
      </w:r>
      <w:r>
        <w:rPr>
          <w:rFonts w:cs="Abz-2 (Badr)" w:hint="cs"/>
          <w:color w:val="000000" w:themeColor="text1"/>
          <w:sz w:val="28"/>
          <w:szCs w:val="28"/>
          <w:rtl/>
        </w:rPr>
        <w:t>.</w:t>
      </w:r>
    </w:p>
    <w:p w14:paraId="2738C71D" w14:textId="77777777" w:rsidR="00985872" w:rsidRPr="00045A18" w:rsidRDefault="00985872" w:rsidP="00985872">
      <w:pPr>
        <w:widowControl w:val="0"/>
        <w:bidi/>
        <w:spacing w:after="0" w:line="254" w:lineRule="auto"/>
        <w:ind w:firstLine="284"/>
        <w:jc w:val="both"/>
        <w:rPr>
          <w:rFonts w:cs="Abz-2 (Badr)"/>
          <w:color w:val="000000" w:themeColor="text1"/>
          <w:sz w:val="28"/>
          <w:szCs w:val="28"/>
        </w:rPr>
      </w:pPr>
      <w:r w:rsidRPr="00045A18">
        <w:rPr>
          <w:rFonts w:cs="Abz-2 (Badr)"/>
          <w:color w:val="000000" w:themeColor="text1"/>
          <w:sz w:val="28"/>
          <w:szCs w:val="28"/>
          <w:rtl/>
        </w:rPr>
        <w:t>غير أنّ الحقّ هو لزوم القول بالتفصيل في المسألة</w:t>
      </w:r>
      <w:r>
        <w:rPr>
          <w:rFonts w:cs="Abz-2 (Badr)" w:hint="cs"/>
          <w:color w:val="000000" w:themeColor="text1"/>
          <w:sz w:val="28"/>
          <w:szCs w:val="28"/>
          <w:rtl/>
        </w:rPr>
        <w:t>.</w:t>
      </w:r>
    </w:p>
    <w:p w14:paraId="483B591C" w14:textId="77777777" w:rsidR="00985872" w:rsidRDefault="00985872" w:rsidP="00985872">
      <w:pPr>
        <w:widowControl w:val="0"/>
        <w:bidi/>
        <w:spacing w:after="0" w:line="254" w:lineRule="auto"/>
        <w:ind w:firstLine="284"/>
        <w:jc w:val="both"/>
        <w:rPr>
          <w:rFonts w:cs="Abz-2 (Badr)"/>
          <w:color w:val="000000" w:themeColor="text1"/>
          <w:sz w:val="28"/>
          <w:szCs w:val="28"/>
          <w:rtl/>
          <w:lang w:bidi="ar"/>
        </w:rPr>
      </w:pPr>
      <w:r w:rsidRPr="00045A18">
        <w:rPr>
          <w:rFonts w:cs="Abz-2 (Badr)"/>
          <w:color w:val="000000" w:themeColor="text1"/>
          <w:sz w:val="28"/>
          <w:szCs w:val="28"/>
          <w:rtl/>
        </w:rPr>
        <w:t>فإذا دلّ الدليل على لزوم دفع عين إلى شخص ما، أو دلّ على جواز انتفاعه بالعين مع كون هذا الانتفاع مستلزماً لاستهلاك العين وزوالها، فإنّ العرف يستظهر من ذلك وجوب التمليك، ولا سيّما إذا انضمّ إلى ذلك تجويز التصرّفات المتوقّفة على الملك لذلك الشخص</w:t>
      </w:r>
      <w:r>
        <w:rPr>
          <w:rFonts w:cs="Abz-2 (Badr)" w:hint="cs"/>
          <w:color w:val="000000" w:themeColor="text1"/>
          <w:sz w:val="28"/>
          <w:szCs w:val="28"/>
          <w:rtl/>
          <w:lang w:bidi="ar"/>
        </w:rPr>
        <w:t>.</w:t>
      </w:r>
    </w:p>
    <w:p w14:paraId="27D65C24" w14:textId="77777777" w:rsidR="00985872" w:rsidRPr="00045A18" w:rsidRDefault="00985872" w:rsidP="00985872">
      <w:pPr>
        <w:widowControl w:val="0"/>
        <w:bidi/>
        <w:spacing w:after="0" w:line="254" w:lineRule="auto"/>
        <w:ind w:firstLine="284"/>
        <w:jc w:val="both"/>
        <w:rPr>
          <w:rFonts w:cs="Abz-2 (Badr)"/>
          <w:color w:val="000000" w:themeColor="text1"/>
          <w:sz w:val="28"/>
          <w:szCs w:val="28"/>
        </w:rPr>
      </w:pPr>
      <w:r w:rsidRPr="00045A18">
        <w:rPr>
          <w:rFonts w:cs="Abz-2 (Badr)"/>
          <w:color w:val="000000" w:themeColor="text1"/>
          <w:sz w:val="28"/>
          <w:szCs w:val="28"/>
          <w:rtl/>
        </w:rPr>
        <w:t>فمثلاً لو قال الشارع لشخص: «أعط دارك لزيد»، فإنّ العرف يفهم من هذا الأمر وجوب التمليك لا مجرّد الإباحة، وخصوصاً إذا صرّح بأنّ لزيد حقّ نقل الدار إلى غيره</w:t>
      </w:r>
      <w:r>
        <w:rPr>
          <w:rFonts w:cs="Abz-2 (Badr)" w:hint="cs"/>
          <w:color w:val="000000" w:themeColor="text1"/>
          <w:sz w:val="28"/>
          <w:szCs w:val="28"/>
          <w:rtl/>
        </w:rPr>
        <w:t>.</w:t>
      </w:r>
    </w:p>
    <w:p w14:paraId="6599AA2A" w14:textId="77777777" w:rsidR="00985872" w:rsidRPr="00045A18" w:rsidRDefault="00985872" w:rsidP="00985872">
      <w:pPr>
        <w:widowControl w:val="0"/>
        <w:bidi/>
        <w:spacing w:after="0" w:line="254" w:lineRule="auto"/>
        <w:ind w:firstLine="284"/>
        <w:jc w:val="both"/>
        <w:rPr>
          <w:rFonts w:cs="Abz-2 (Badr)"/>
          <w:color w:val="000000" w:themeColor="text1"/>
          <w:sz w:val="28"/>
          <w:szCs w:val="28"/>
          <w:lang w:bidi="ar"/>
        </w:rPr>
      </w:pPr>
      <w:r w:rsidRPr="00045A18">
        <w:rPr>
          <w:rFonts w:cs="Abz-2 (Badr)"/>
          <w:color w:val="000000" w:themeColor="text1"/>
          <w:sz w:val="28"/>
          <w:szCs w:val="28"/>
          <w:rtl/>
        </w:rPr>
        <w:t>أمّا إذا كان الدليل إنّما يدلّ على لزوم رفع حاجة الزوجة وكان رفع حاجتها لا يستلزم وضع العين تحت تصرّفها ولا يقتضي استهلاك العين بسبب انتفاعها، فلا وجه للالتزام بوجوب تمليك العين لها</w:t>
      </w:r>
      <w:r>
        <w:rPr>
          <w:rFonts w:cs="Abz-2 (Badr)" w:hint="cs"/>
          <w:color w:val="000000" w:themeColor="text1"/>
          <w:sz w:val="28"/>
          <w:szCs w:val="28"/>
          <w:rtl/>
        </w:rPr>
        <w:t>.</w:t>
      </w:r>
    </w:p>
    <w:p w14:paraId="53220C56" w14:textId="77777777" w:rsidR="00985872" w:rsidRPr="00045A18" w:rsidRDefault="00985872" w:rsidP="00985872">
      <w:pPr>
        <w:widowControl w:val="0"/>
        <w:bidi/>
        <w:spacing w:after="0" w:line="254" w:lineRule="auto"/>
        <w:ind w:firstLine="284"/>
        <w:jc w:val="both"/>
        <w:rPr>
          <w:rFonts w:cs="Abz-2 (Badr)"/>
          <w:color w:val="000000" w:themeColor="text1"/>
          <w:sz w:val="28"/>
          <w:szCs w:val="28"/>
        </w:rPr>
      </w:pPr>
      <w:r w:rsidRPr="00045A18">
        <w:rPr>
          <w:rFonts w:cs="Abz-2 (Badr)"/>
          <w:color w:val="000000" w:themeColor="text1"/>
          <w:sz w:val="28"/>
          <w:szCs w:val="28"/>
          <w:rtl/>
        </w:rPr>
        <w:t>ومن هنا ففي الموارد التي لم يرد فيها في الأدلّة الأمر بدفع العين إلى الزوجة ولم يكن انتفاعها بالعين مستلزماً لاستهلاكها وزوالها ـ كما في السكنى أو الخادم ـ لا وجه للقول بملكيّة الزوجة للعين</w:t>
      </w:r>
      <w:r>
        <w:rPr>
          <w:rFonts w:cs="Abz-2 (Badr)" w:hint="cs"/>
          <w:color w:val="000000" w:themeColor="text1"/>
          <w:sz w:val="28"/>
          <w:szCs w:val="28"/>
          <w:rtl/>
        </w:rPr>
        <w:t>.</w:t>
      </w:r>
    </w:p>
    <w:p w14:paraId="5C401B7A" w14:textId="77777777" w:rsidR="00985872" w:rsidRPr="00045A18" w:rsidRDefault="00985872" w:rsidP="00985872">
      <w:pPr>
        <w:widowControl w:val="0"/>
        <w:bidi/>
        <w:spacing w:after="0" w:line="254" w:lineRule="auto"/>
        <w:ind w:firstLine="284"/>
        <w:jc w:val="both"/>
        <w:rPr>
          <w:rFonts w:cs="Abz-2 (Badr)"/>
          <w:color w:val="000000" w:themeColor="text1"/>
          <w:sz w:val="28"/>
          <w:szCs w:val="28"/>
          <w:lang w:bidi="ar"/>
        </w:rPr>
      </w:pPr>
      <w:r w:rsidRPr="00045A18">
        <w:rPr>
          <w:rFonts w:cs="Abz-2 (Badr)"/>
          <w:color w:val="000000" w:themeColor="text1"/>
          <w:sz w:val="28"/>
          <w:szCs w:val="28"/>
          <w:rtl/>
        </w:rPr>
        <w:t xml:space="preserve">وأمّا ما أفاده الشهيد الثاني من أنّ الأصل في الحقوق الماليّة هو شغل الذمّة، فسنتعرّض في الجلسة القادمة ـ إن شاء الله </w:t>
      </w:r>
      <w:r>
        <w:rPr>
          <w:rFonts w:cs="Abz-2 (Badr)" w:hint="cs"/>
          <w:color w:val="000000" w:themeColor="text1"/>
          <w:sz w:val="28"/>
          <w:szCs w:val="28"/>
          <w:rtl/>
        </w:rPr>
        <w:t xml:space="preserve">تعالی </w:t>
      </w:r>
      <w:r w:rsidRPr="00045A18">
        <w:rPr>
          <w:rFonts w:cs="Abz-2 (Badr)"/>
          <w:color w:val="000000" w:themeColor="text1"/>
          <w:sz w:val="28"/>
          <w:szCs w:val="28"/>
          <w:rtl/>
        </w:rPr>
        <w:t>ـ لبحث إمكان الالتزام به أو عدم إمكانه</w:t>
      </w:r>
      <w:r>
        <w:rPr>
          <w:rFonts w:cs="Abz-2 (Badr)" w:hint="cs"/>
          <w:color w:val="000000" w:themeColor="text1"/>
          <w:sz w:val="28"/>
          <w:szCs w:val="28"/>
          <w:rtl/>
        </w:rPr>
        <w:t>.</w:t>
      </w:r>
    </w:p>
    <w:p w14:paraId="226B082A" w14:textId="77777777" w:rsidR="00985872" w:rsidRPr="00045A18" w:rsidRDefault="00985872" w:rsidP="00985872">
      <w:pPr>
        <w:widowControl w:val="0"/>
        <w:bidi/>
        <w:spacing w:after="0" w:line="254" w:lineRule="auto"/>
        <w:ind w:firstLine="284"/>
        <w:jc w:val="both"/>
        <w:rPr>
          <w:rFonts w:cs="Abz-2 (Badr)"/>
          <w:color w:val="C45911" w:themeColor="accent2" w:themeShade="BF"/>
          <w:sz w:val="28"/>
          <w:szCs w:val="28"/>
          <w:rtl/>
          <w:lang w:bidi="ar"/>
        </w:rPr>
      </w:pPr>
    </w:p>
    <w:p w14:paraId="7F24FBDC" w14:textId="77777777" w:rsidR="00985872" w:rsidRPr="00E55C6A" w:rsidRDefault="00985872" w:rsidP="00985872">
      <w:pPr>
        <w:widowControl w:val="0"/>
        <w:bidi/>
        <w:spacing w:after="0" w:line="254" w:lineRule="auto"/>
        <w:ind w:firstLine="284"/>
        <w:jc w:val="both"/>
        <w:rPr>
          <w:rFonts w:cs="Abz-2 (Badr)"/>
          <w:color w:val="000000" w:themeColor="text1"/>
          <w:sz w:val="28"/>
          <w:szCs w:val="28"/>
          <w:rtl/>
          <w:lang w:bidi="fa-IR"/>
        </w:rPr>
      </w:pPr>
    </w:p>
    <w:bookmarkEnd w:id="1"/>
    <w:p w14:paraId="2AD04477" w14:textId="7D63A4A4" w:rsidR="00B706A3" w:rsidRPr="005F4AEE" w:rsidRDefault="00B706A3" w:rsidP="005F4AEE">
      <w:pPr>
        <w:rPr>
          <w:rtl/>
        </w:rPr>
      </w:pPr>
    </w:p>
    <w:sectPr w:rsidR="00B706A3" w:rsidRPr="005F4AEE" w:rsidSect="005815B4">
      <w:headerReference w:type="default" r:id="rId7"/>
      <w:footerReference w:type="default" r:id="rId8"/>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5D209" w14:textId="77777777" w:rsidR="00EE322A" w:rsidRDefault="00EE322A" w:rsidP="00F71127">
      <w:pPr>
        <w:spacing w:after="0" w:line="240" w:lineRule="auto"/>
      </w:pPr>
      <w:r>
        <w:separator/>
      </w:r>
    </w:p>
  </w:endnote>
  <w:endnote w:type="continuationSeparator" w:id="0">
    <w:p w14:paraId="45D20E86" w14:textId="77777777" w:rsidR="00EE322A" w:rsidRDefault="00EE322A"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176BD" w14:textId="77777777" w:rsidR="00EE322A" w:rsidRDefault="00EE322A" w:rsidP="00EE25C0">
      <w:pPr>
        <w:bidi/>
        <w:spacing w:after="0" w:line="240" w:lineRule="auto"/>
      </w:pPr>
      <w:r>
        <w:separator/>
      </w:r>
    </w:p>
  </w:footnote>
  <w:footnote w:type="continuationSeparator" w:id="0">
    <w:p w14:paraId="70FDF3F6" w14:textId="77777777" w:rsidR="00EE322A" w:rsidRDefault="00EE322A" w:rsidP="00F71127">
      <w:pPr>
        <w:bidi/>
        <w:spacing w:after="0" w:line="240" w:lineRule="auto"/>
      </w:pPr>
      <w:r>
        <w:continuationSeparator/>
      </w:r>
    </w:p>
  </w:footnote>
  <w:footnote w:id="1">
    <w:p w14:paraId="48DF2780" w14:textId="77777777" w:rsidR="00985872" w:rsidRPr="00AE7C45" w:rsidRDefault="00985872" w:rsidP="00985872">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ـ کتاب المکاسب</w:t>
      </w:r>
      <w:r>
        <w:rPr>
          <w:rFonts w:cs="Abz-2 (Badr)" w:hint="cs"/>
          <w:rtl/>
          <w:lang w:bidi="fa-IR"/>
        </w:rPr>
        <w:t>،ج3،ص82 - 85.</w:t>
      </w:r>
    </w:p>
  </w:footnote>
  <w:footnote w:id="2">
    <w:p w14:paraId="33FB27A7" w14:textId="77777777" w:rsidR="00985872" w:rsidRPr="00AE7C45" w:rsidRDefault="00985872" w:rsidP="00985872">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 xml:space="preserve">ـ مسالك </w:t>
      </w:r>
      <w:r>
        <w:rPr>
          <w:rFonts w:cs="Abz-2 (Badr)" w:hint="cs"/>
          <w:rtl/>
          <w:lang w:bidi="fa-IR"/>
        </w:rPr>
        <w:t>الأفهام،ج8،ص452.</w:t>
      </w:r>
    </w:p>
  </w:footnote>
  <w:footnote w:id="3">
    <w:p w14:paraId="452CF674" w14:textId="77777777" w:rsidR="00985872" w:rsidRPr="00AE7C45" w:rsidRDefault="00985872" w:rsidP="00985872">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ـ کتاب المکاسب</w:t>
      </w:r>
      <w:r>
        <w:rPr>
          <w:rFonts w:cs="Abz-2 (Badr)" w:hint="cs"/>
          <w:rtl/>
          <w:lang w:bidi="fa-IR"/>
        </w:rPr>
        <w:t>،ج3،ص82 - 85.</w:t>
      </w:r>
    </w:p>
  </w:footnote>
  <w:footnote w:id="4">
    <w:p w14:paraId="68F7903D" w14:textId="77777777" w:rsidR="00985872" w:rsidRPr="00AE7C45" w:rsidRDefault="00985872" w:rsidP="00985872">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 xml:space="preserve">ـ مسالك </w:t>
      </w:r>
      <w:r>
        <w:rPr>
          <w:rFonts w:cs="Abz-2 (Badr)" w:hint="cs"/>
          <w:rtl/>
          <w:lang w:bidi="fa-IR"/>
        </w:rPr>
        <w:t>الأفهام،ج8،ص452.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55708F74"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985872">
                            <w:rPr>
                              <w:rFonts w:cs="B Mehr" w:hint="cs"/>
                              <w:rtl/>
                              <w:lang w:bidi="fa-IR"/>
                            </w:rPr>
                            <w:t>چهار</w:t>
                          </w:r>
                          <w:r w:rsidR="005F4AEE">
                            <w:rPr>
                              <w:rFonts w:cs="B Mehr" w:hint="cs"/>
                              <w:rtl/>
                              <w:lang w:bidi="fa-IR"/>
                            </w:rPr>
                            <w:t xml:space="preserve"> </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985872">
                            <w:rPr>
                              <w:rFonts w:cs="B Mehr" w:hint="cs"/>
                              <w:rtl/>
                              <w:lang w:bidi="fa-IR"/>
                            </w:rPr>
                            <w:t>26</w:t>
                          </w:r>
                          <w:r>
                            <w:rPr>
                              <w:rFonts w:cs="B Mehr" w:hint="cs"/>
                              <w:rtl/>
                              <w:lang w:bidi="fa-IR"/>
                            </w:rPr>
                            <w:t xml:space="preserve">   آذر</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55708F74"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985872">
                      <w:rPr>
                        <w:rFonts w:cs="B Mehr" w:hint="cs"/>
                        <w:rtl/>
                        <w:lang w:bidi="fa-IR"/>
                      </w:rPr>
                      <w:t>چهار</w:t>
                    </w:r>
                    <w:r w:rsidR="005F4AEE">
                      <w:rPr>
                        <w:rFonts w:cs="B Mehr" w:hint="cs"/>
                        <w:rtl/>
                        <w:lang w:bidi="fa-IR"/>
                      </w:rPr>
                      <w:t xml:space="preserve"> </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985872">
                      <w:rPr>
                        <w:rFonts w:cs="B Mehr" w:hint="cs"/>
                        <w:rtl/>
                        <w:lang w:bidi="fa-IR"/>
                      </w:rPr>
                      <w:t>26</w:t>
                    </w:r>
                    <w:r>
                      <w:rPr>
                        <w:rFonts w:cs="B Mehr" w:hint="cs"/>
                        <w:rtl/>
                        <w:lang w:bidi="fa-IR"/>
                      </w:rPr>
                      <w:t xml:space="preserve">   آذر</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B7"/>
    <w:rsid w:val="00BD5502"/>
    <w:rsid w:val="00BD58AC"/>
    <w:rsid w:val="00BD610A"/>
    <w:rsid w:val="00BD644D"/>
    <w:rsid w:val="00BD64BC"/>
    <w:rsid w:val="00BD6EF3"/>
    <w:rsid w:val="00BE0CFA"/>
    <w:rsid w:val="00BE25C0"/>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21733</TotalTime>
  <Pages>1</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695</cp:revision>
  <cp:lastPrinted>2025-04-14T09:12:00Z</cp:lastPrinted>
  <dcterms:created xsi:type="dcterms:W3CDTF">2022-10-16T08:36:00Z</dcterms:created>
  <dcterms:modified xsi:type="dcterms:W3CDTF">2025-12-18T17:42:00Z</dcterms:modified>
</cp:coreProperties>
</file>