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7E5F6" w14:textId="77777777" w:rsidR="007F2329" w:rsidRDefault="007F2329" w:rsidP="007F2329">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77EDEA73" w14:textId="77777777" w:rsidR="007F2329" w:rsidRDefault="007F2329" w:rsidP="007F2329">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7D48470B" w14:textId="77777777" w:rsidR="007F2329" w:rsidRDefault="007F2329" w:rsidP="007F2329">
      <w:pPr>
        <w:widowControl w:val="0"/>
        <w:bidi/>
        <w:spacing w:after="0"/>
        <w:jc w:val="center"/>
        <w:rPr>
          <w:rFonts w:cs="B Mitra" w:hint="cs"/>
          <w:b/>
          <w:bCs/>
          <w:sz w:val="32"/>
          <w:szCs w:val="32"/>
          <w:rtl/>
          <w:lang w:bidi="fa-IR"/>
        </w:rPr>
      </w:pPr>
      <w:r>
        <w:rPr>
          <w:rFonts w:cs="B Mitra" w:hint="cs"/>
          <w:b/>
          <w:bCs/>
          <w:sz w:val="32"/>
          <w:szCs w:val="32"/>
          <w:rtl/>
          <w:lang w:bidi="fa-IR"/>
        </w:rPr>
        <w:t>جلسه 885</w:t>
      </w:r>
    </w:p>
    <w:p w14:paraId="58DA6835" w14:textId="77777777" w:rsidR="007F2329" w:rsidRDefault="007F2329" w:rsidP="007F2329">
      <w:pPr>
        <w:widowControl w:val="0"/>
        <w:bidi/>
        <w:spacing w:after="0"/>
        <w:ind w:firstLine="284"/>
        <w:jc w:val="both"/>
        <w:rPr>
          <w:rFonts w:cs="Abz-2 (Badr)" w:hint="cs"/>
          <w:color w:val="000000" w:themeColor="text1"/>
          <w:sz w:val="28"/>
          <w:szCs w:val="28"/>
          <w:rtl/>
          <w:lang w:bidi="fa-IR"/>
        </w:rPr>
      </w:pPr>
      <w:bookmarkStart w:id="0" w:name="_Hlk159096966"/>
    </w:p>
    <w:bookmarkEnd w:id="0"/>
    <w:p w14:paraId="4DDC92CB" w14:textId="77777777" w:rsidR="007F2329" w:rsidRDefault="007F2329" w:rsidP="007F232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pacing w:val="-6"/>
          <w:sz w:val="28"/>
          <w:szCs w:val="28"/>
          <w:rtl/>
          <w:lang w:bidi="fa-IR"/>
        </w:rPr>
        <w:t xml:space="preserve">علامه نيز در خصوص مسکن زوجه فرعی را مطرح کرده و فرموده است: </w:t>
      </w:r>
      <w:r>
        <w:rPr>
          <w:rFonts w:cs="Abz-2 (Badr)" w:hint="cs"/>
          <w:color w:val="0070C0"/>
          <w:spacing w:val="-6"/>
          <w:sz w:val="28"/>
          <w:szCs w:val="28"/>
          <w:rtl/>
          <w:lang w:bidi="fa-IR"/>
        </w:rPr>
        <w:t>«</w:t>
      </w:r>
      <w:r>
        <w:rPr>
          <w:rFonts w:cs="Abz-2 (Badr)" w:hint="cs"/>
          <w:color w:val="0070C0"/>
          <w:spacing w:val="-6"/>
          <w:sz w:val="28"/>
          <w:szCs w:val="28"/>
          <w:rtl/>
          <w:lang w:bidi="ar"/>
        </w:rPr>
        <w:t>لو سكنت في منزلها ففي وجوب الأُجرة نظر.»</w:t>
      </w:r>
      <w:r>
        <w:rPr>
          <w:rFonts w:cs="Abz-2 (Badr)"/>
          <w:color w:val="000000" w:themeColor="text1"/>
          <w:sz w:val="28"/>
          <w:szCs w:val="28"/>
          <w:vertAlign w:val="superscript"/>
          <w:rtl/>
          <w:lang w:bidi="fa-IR"/>
        </w:rPr>
        <w:footnoteReference w:id="1"/>
      </w:r>
    </w:p>
    <w:p w14:paraId="21F851E9" w14:textId="77777777" w:rsidR="007F2329" w:rsidRDefault="007F2329" w:rsidP="007F2329">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lang w:bidi="fa-IR"/>
        </w:rPr>
        <w:t xml:space="preserve">کاشف اللثام در توضيح مدعای علامه فرموده است: </w:t>
      </w:r>
      <w:r>
        <w:rPr>
          <w:rFonts w:cs="Abz-2 (Badr)" w:hint="cs"/>
          <w:color w:val="0070C0"/>
          <w:sz w:val="28"/>
          <w:szCs w:val="28"/>
          <w:rtl/>
          <w:lang w:bidi="fa-IR"/>
        </w:rPr>
        <w:t>«</w:t>
      </w:r>
      <w:r>
        <w:rPr>
          <w:rFonts w:cs="Abz-2 (Badr)" w:hint="cs"/>
          <w:color w:val="0070C0"/>
          <w:sz w:val="28"/>
          <w:szCs w:val="28"/>
          <w:rtl/>
          <w:lang w:bidi="ar"/>
        </w:rPr>
        <w:t>من كون الإسكان حقّاً لها، ولا يسقط الحقّ‌ بالسكوت عن المطالبة، فإذا لم يسلّم لها السكنى، كان لها عوضها وهي الأُجرة.</w:t>
      </w:r>
    </w:p>
    <w:p w14:paraId="4E6B1B28" w14:textId="77777777" w:rsidR="007F2329" w:rsidRDefault="007F2329" w:rsidP="007F2329">
      <w:pPr>
        <w:widowControl w:val="0"/>
        <w:bidi/>
        <w:spacing w:after="0"/>
        <w:ind w:firstLine="284"/>
        <w:jc w:val="both"/>
        <w:rPr>
          <w:rFonts w:cs="Abz-2 (Badr)"/>
          <w:color w:val="000000" w:themeColor="text1"/>
          <w:sz w:val="28"/>
          <w:szCs w:val="28"/>
          <w:lang w:bidi="fa-IR"/>
        </w:rPr>
      </w:pPr>
      <w:r>
        <w:rPr>
          <w:rFonts w:cs="Abz-2 (Badr)" w:hint="cs"/>
          <w:color w:val="0070C0"/>
          <w:sz w:val="28"/>
          <w:szCs w:val="28"/>
          <w:rtl/>
          <w:lang w:bidi="ar"/>
        </w:rPr>
        <w:t>ومن شيوع المسامحة في السكنى إذا كان لها منزل واعتياد التبرّع، وأنّ‌ الواجب هو الإسكان، ولا دليل على العوض إذا فات.»</w:t>
      </w:r>
      <w:r>
        <w:rPr>
          <w:rFonts w:cs="Abz-2 (Badr)"/>
          <w:color w:val="000000" w:themeColor="text1"/>
          <w:sz w:val="28"/>
          <w:szCs w:val="28"/>
          <w:vertAlign w:val="superscript"/>
          <w:rtl/>
          <w:lang w:bidi="fa-IR"/>
        </w:rPr>
        <w:footnoteReference w:id="2"/>
      </w:r>
    </w:p>
    <w:p w14:paraId="7DFD9A41" w14:textId="77777777" w:rsidR="007F2329" w:rsidRDefault="007F2329" w:rsidP="007F232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معلوم است که اگر زوجه به زوج بگويد: «من در خانه خود می</w:t>
      </w:r>
      <w:r>
        <w:rPr>
          <w:rFonts w:cs="Abz-2 (Badr)" w:hint="cs"/>
          <w:color w:val="000000" w:themeColor="text1"/>
          <w:sz w:val="28"/>
          <w:szCs w:val="28"/>
          <w:rtl/>
          <w:lang w:bidi="fa-IR"/>
        </w:rPr>
        <w:softHyphen/>
        <w:t>مانم و تو بايد اجرت آن را به من پرداخت کنی» و زوج نيز اين مطلب را بپذيرد، اشکالی در وجوب دفع اجرت بر زوج وجود نخواهد داشت.</w:t>
      </w:r>
    </w:p>
    <w:p w14:paraId="0513AFD2" w14:textId="77777777" w:rsidR="007F2329" w:rsidRDefault="007F2329" w:rsidP="007F232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ولی چنانچه چنين مطلبی بين آنان رد و بدل نشود و زوجه مدتی در منزل خود بماند و بعداً اجاره آن مدت را از زوج مطالبه کند، زوج بايد اجرت مذکور را بپردازد، زيرا در فرضی که زوج متمکن از تأمين نفقه باشد و آن را ولو به جهت عدم مطالبه زوجه تأمين نکند، نفقه بر ذمه وی مستقر می</w:t>
      </w:r>
      <w:r>
        <w:rPr>
          <w:rFonts w:cs="Abz-2 (Badr)" w:hint="cs"/>
          <w:color w:val="000000" w:themeColor="text1"/>
          <w:sz w:val="28"/>
          <w:szCs w:val="28"/>
          <w:rtl/>
          <w:lang w:bidi="fa-IR"/>
        </w:rPr>
        <w:softHyphen/>
        <w:t>گردد، مگر اين که ثابت شود که عدم مطالبه دلالت بر اسقاط نفقه توسط زوجه می</w:t>
      </w:r>
      <w:r>
        <w:rPr>
          <w:rFonts w:cs="Abz-2 (Badr)" w:hint="cs"/>
          <w:color w:val="000000" w:themeColor="text1"/>
          <w:sz w:val="28"/>
          <w:szCs w:val="28"/>
          <w:rtl/>
          <w:lang w:bidi="fa-IR"/>
        </w:rPr>
        <w:softHyphen/>
        <w:t>کند.</w:t>
      </w:r>
    </w:p>
    <w:p w14:paraId="5F4CB6AC" w14:textId="77777777" w:rsidR="007F2329" w:rsidRDefault="007F2329" w:rsidP="007F232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در خصوص لباس نيز علامه در قواعد فرموده است: </w:t>
      </w:r>
      <w:r>
        <w:rPr>
          <w:rFonts w:cs="Abz-2 (Badr)" w:hint="cs"/>
          <w:color w:val="0070C0"/>
          <w:sz w:val="28"/>
          <w:szCs w:val="28"/>
          <w:rtl/>
          <w:lang w:bidi="fa-IR"/>
        </w:rPr>
        <w:t>«</w:t>
      </w:r>
      <w:r>
        <w:rPr>
          <w:rFonts w:cs="Abz-2 (Badr)" w:hint="cs"/>
          <w:color w:val="0070C0"/>
          <w:sz w:val="28"/>
          <w:szCs w:val="28"/>
          <w:rtl/>
          <w:lang w:bidi="ar"/>
        </w:rPr>
        <w:t>إذا كانت من ذوي التجمّل، وجب لها زيادة على ثياب البذلة ثياب التجمّل بنسبة حال أمثالها.»</w:t>
      </w:r>
      <w:r>
        <w:rPr>
          <w:rFonts w:cs="Abz-2 (Badr)"/>
          <w:color w:val="000000" w:themeColor="text1"/>
          <w:sz w:val="28"/>
          <w:szCs w:val="28"/>
          <w:vertAlign w:val="superscript"/>
          <w:rtl/>
          <w:lang w:bidi="fa-IR"/>
        </w:rPr>
        <w:footnoteReference w:id="3"/>
      </w:r>
    </w:p>
    <w:p w14:paraId="1D08C4D8" w14:textId="77777777" w:rsidR="007F2329" w:rsidRDefault="007F2329" w:rsidP="007F232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lastRenderedPageBreak/>
        <w:t>اما آيت الله سيستانی با وجود پذيرش اين مطلب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نعم، ما تعارف عند بعض النساء من تكثير الألبسة النفيسة، خارج عن النفقة الواجبة، فضلاً عمّا تعارف عند جمع منهنّ من لبس بعض الألبسة مرّة أو مرّتين في بعض المناسبات ثمّ استبداله بآخر مختلف عنه نوعاً أو هيئة في المناسبات الأُخرى.»</w:t>
      </w:r>
      <w:r>
        <w:rPr>
          <w:rFonts w:cs="Abz-2 (Badr)"/>
          <w:color w:val="000000" w:themeColor="text1"/>
          <w:sz w:val="28"/>
          <w:szCs w:val="28"/>
          <w:vertAlign w:val="superscript"/>
          <w:rtl/>
          <w:lang w:bidi="fa-IR"/>
        </w:rPr>
        <w:footnoteReference w:id="4"/>
      </w:r>
    </w:p>
    <w:p w14:paraId="74745C92" w14:textId="77777777" w:rsidR="007F2329" w:rsidRDefault="007F2329" w:rsidP="007F232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وجه اين مطلب نيز همان چيزی است که در خصوص نياز به خادم</w:t>
      </w:r>
      <w:r>
        <w:rPr>
          <w:rFonts w:cs="Abz-2 (Badr)" w:hint="cs"/>
          <w:color w:val="000000" w:themeColor="text1"/>
          <w:sz w:val="28"/>
          <w:szCs w:val="28"/>
          <w:rtl/>
          <w:lang w:bidi="fa-IR"/>
        </w:rPr>
        <w:softHyphen/>
        <w:t>های متعدد مازاد بر آنچه که ترتيب امور زوجه بر آن متوقف است، گذشت.</w:t>
      </w:r>
    </w:p>
    <w:p w14:paraId="2F103F88" w14:textId="77777777" w:rsidR="007F2329" w:rsidRDefault="007F2329" w:rsidP="007F2329">
      <w:pPr>
        <w:widowControl w:val="0"/>
        <w:bidi/>
        <w:spacing w:after="0" w:line="252" w:lineRule="auto"/>
        <w:ind w:left="1701"/>
        <w:jc w:val="both"/>
        <w:rPr>
          <w:rFonts w:cs="Abz-2 (Badr)" w:hint="cs"/>
          <w:color w:val="00B050"/>
          <w:sz w:val="28"/>
          <w:szCs w:val="28"/>
          <w:rtl/>
          <w:lang w:bidi="ar"/>
        </w:rPr>
      </w:pPr>
      <w:bookmarkStart w:id="1" w:name="_Hlk216447920"/>
      <w:r>
        <w:rPr>
          <w:rFonts w:cs="Abz-2 (Badr)" w:hint="cs"/>
          <w:color w:val="00B050"/>
          <w:sz w:val="28"/>
          <w:szCs w:val="28"/>
          <w:rtl/>
          <w:lang w:bidi="ar"/>
        </w:rPr>
        <w:t>قال المحقّق الحلّي: «وأمّا اللواحق فمسائل:</w:t>
      </w:r>
    </w:p>
    <w:p w14:paraId="1D620CDD" w14:textId="77777777" w:rsidR="007F2329" w:rsidRDefault="007F2329" w:rsidP="007F2329">
      <w:pPr>
        <w:widowControl w:val="0"/>
        <w:bidi/>
        <w:spacing w:after="0" w:line="252" w:lineRule="auto"/>
        <w:ind w:left="1701"/>
        <w:jc w:val="both"/>
        <w:rPr>
          <w:rFonts w:cs="Abz-2 (Badr)"/>
          <w:color w:val="00B050"/>
          <w:sz w:val="28"/>
          <w:szCs w:val="28"/>
          <w:lang w:bidi="ar"/>
        </w:rPr>
      </w:pPr>
      <w:r>
        <w:rPr>
          <w:rFonts w:cs="Abz-2 (Badr)" w:hint="cs"/>
          <w:color w:val="00B050"/>
          <w:sz w:val="28"/>
          <w:szCs w:val="28"/>
          <w:rtl/>
          <w:lang w:bidi="ar"/>
        </w:rPr>
        <w:t>الأُولى: لو قالت: «أنا أخدم نفسي ولي نفقة الخادم» لم يجب إجابتها.</w:t>
      </w:r>
    </w:p>
    <w:p w14:paraId="55944690" w14:textId="77777777" w:rsidR="007F2329" w:rsidRDefault="007F2329" w:rsidP="007F2329">
      <w:pPr>
        <w:widowControl w:val="0"/>
        <w:bidi/>
        <w:spacing w:after="0" w:line="252" w:lineRule="auto"/>
        <w:ind w:left="1701"/>
        <w:jc w:val="both"/>
        <w:rPr>
          <w:rFonts w:cs="Abz-2 (Badr)" w:hint="cs"/>
          <w:color w:val="0070C0"/>
          <w:sz w:val="28"/>
          <w:szCs w:val="28"/>
          <w:rtl/>
          <w:lang w:bidi="fa-IR"/>
        </w:rPr>
      </w:pPr>
      <w:r>
        <w:rPr>
          <w:rFonts w:cs="Abz-2 (Badr)" w:hint="cs"/>
          <w:color w:val="00B050"/>
          <w:sz w:val="28"/>
          <w:szCs w:val="28"/>
          <w:rtl/>
          <w:lang w:bidi="ar"/>
        </w:rPr>
        <w:t>ولو بادرت بالخدمة من غير إذن لم يكن لها المطالبة.»</w:t>
      </w:r>
      <w:r>
        <w:rPr>
          <w:rStyle w:val="FootnoteReference"/>
          <w:rFonts w:cs="Abz-2 (Badr)"/>
          <w:color w:val="000000" w:themeColor="text1"/>
          <w:sz w:val="28"/>
          <w:szCs w:val="28"/>
          <w:rtl/>
          <w:lang w:bidi="ar"/>
        </w:rPr>
        <w:footnoteReference w:id="5"/>
      </w:r>
    </w:p>
    <w:p w14:paraId="3463D8B5"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fa-IR"/>
        </w:rPr>
      </w:pPr>
    </w:p>
    <w:p w14:paraId="757D5BC9"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چنانچه زوجه از کسانی باشد که در شأن آنها داشتن خادم است ولی از زوج بخواهد که به جای تهيه خادم، هزينه آن را به زوجه بپردازد، آيا اجابت اين خواسته بر زوج واجب است؟</w:t>
      </w:r>
    </w:p>
    <w:p w14:paraId="65372B86" w14:textId="77777777" w:rsidR="007F2329" w:rsidRDefault="007F2329" w:rsidP="007F2329">
      <w:pPr>
        <w:widowControl w:val="0"/>
        <w:bidi/>
        <w:spacing w:after="0" w:line="252" w:lineRule="auto"/>
        <w:ind w:firstLine="284"/>
        <w:jc w:val="both"/>
        <w:rPr>
          <w:rFonts w:cs="Abz-2 (Badr)" w:hint="cs"/>
          <w:color w:val="0070C0"/>
          <w:sz w:val="28"/>
          <w:szCs w:val="28"/>
          <w:rtl/>
          <w:lang w:bidi="ar"/>
        </w:rPr>
      </w:pPr>
      <w:r>
        <w:rPr>
          <w:rFonts w:cs="Abz-2 (Badr)" w:hint="cs"/>
          <w:color w:val="000000" w:themeColor="text1"/>
          <w:sz w:val="28"/>
          <w:szCs w:val="28"/>
          <w:rtl/>
          <w:lang w:bidi="fa-IR"/>
        </w:rPr>
        <w:t>شيخ در مبسوط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«إ</w:t>
      </w:r>
      <w:r>
        <w:rPr>
          <w:rFonts w:cs="Abz-2 (Badr)" w:hint="cs"/>
          <w:color w:val="0070C0"/>
          <w:sz w:val="28"/>
          <w:szCs w:val="28"/>
          <w:rtl/>
          <w:lang w:bidi="ar"/>
        </w:rPr>
        <w:t>ن قالت: «لست أختار أن يخدمني أحد، وإنّى أخدم نفسي وآخذ ما كان يأخذه خادمي»، لم يكن ذلك لها، لأنّ الخدمة لأجل الترفّه والدعة، فإذا لم تختر ذلك وطلبت الخدمة، لم يكن لها عوض.»</w:t>
      </w:r>
      <w:r>
        <w:rPr>
          <w:rStyle w:val="FootnoteReference"/>
          <w:rFonts w:cs="Abz-2 (Badr)"/>
          <w:color w:val="000000" w:themeColor="text1"/>
          <w:sz w:val="28"/>
          <w:szCs w:val="28"/>
          <w:rtl/>
          <w:lang w:bidi="ar"/>
        </w:rPr>
        <w:footnoteReference w:id="6"/>
      </w:r>
    </w:p>
    <w:p w14:paraId="108D971D"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حق نيز در اين مطلب با ايشان است، زيرا آنچه که بر زوج واجب است، فراهم نمودن چيزی است که نفقه زوجه باشد، و چنانچه زوجه از آن صرف نظر کند، چيزی بر زوج واجب نخواهد بود، و واجب کردن چيزی که از نفقه زوجه نيست و زوجه مطالبه تعويض نفقه با آن را دارد، وظيفه زوج نمی</w:t>
      </w:r>
      <w:r>
        <w:rPr>
          <w:rFonts w:cs="Abz-2 (Badr)" w:hint="cs"/>
          <w:color w:val="000000" w:themeColor="text1"/>
          <w:sz w:val="28"/>
          <w:szCs w:val="28"/>
          <w:rtl/>
          <w:lang w:bidi="fa-IR"/>
        </w:rPr>
        <w:softHyphen/>
        <w:t>باشد.</w:t>
      </w:r>
    </w:p>
    <w:p w14:paraId="22EAE870"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نظير اين مطلب در باقی مواردی که از باب نفقه بر زوج واجب است نيز جاری است؛ مثلاً چنانچه زوجه به زوج بگويد: «من در خانه خود سکنی می</w:t>
      </w:r>
      <w:r>
        <w:rPr>
          <w:rFonts w:cs="Abz-2 (Badr)" w:hint="cs"/>
          <w:color w:val="000000" w:themeColor="text1"/>
          <w:sz w:val="28"/>
          <w:szCs w:val="28"/>
          <w:rtl/>
          <w:lang w:bidi="fa-IR"/>
        </w:rPr>
        <w:softHyphen/>
        <w:t xml:space="preserve">کنم و تو هزينه مسکن مرا به خودم بپرداز»، يا اين که بگويد: «من در خورد و </w:t>
      </w:r>
      <w:r>
        <w:rPr>
          <w:rFonts w:cs="Abz-2 (Badr)" w:hint="cs"/>
          <w:color w:val="000000" w:themeColor="text1"/>
          <w:sz w:val="28"/>
          <w:szCs w:val="28"/>
          <w:rtl/>
          <w:lang w:bidi="fa-IR"/>
        </w:rPr>
        <w:lastRenderedPageBreak/>
        <w:t>خوراک خود اقتصاد به خرج می</w:t>
      </w:r>
      <w:r>
        <w:rPr>
          <w:rFonts w:cs="Abz-2 (Badr)" w:hint="cs"/>
          <w:color w:val="000000" w:themeColor="text1"/>
          <w:sz w:val="28"/>
          <w:szCs w:val="28"/>
          <w:rtl/>
          <w:lang w:bidi="fa-IR"/>
        </w:rPr>
        <w:softHyphen/>
        <w:t>دهم و تو مازاد آنچه که من مصرف می</w:t>
      </w:r>
      <w:r>
        <w:rPr>
          <w:rFonts w:cs="Abz-2 (Badr)" w:hint="cs"/>
          <w:color w:val="000000" w:themeColor="text1"/>
          <w:sz w:val="28"/>
          <w:szCs w:val="28"/>
          <w:rtl/>
          <w:lang w:bidi="fa-IR"/>
        </w:rPr>
        <w:softHyphen/>
        <w:t>کنم را نقداً به من بپرداز» اجابت کردن اين خواسته بر زوج واجب نيست.</w:t>
      </w:r>
      <w:bookmarkEnd w:id="1"/>
    </w:p>
    <w:p w14:paraId="28E3CD4E"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ادامه بحث را به جلسه بعد موکول می</w:t>
      </w:r>
      <w:r>
        <w:rPr>
          <w:rFonts w:cs="Abz-2 (Badr)" w:hint="cs"/>
          <w:color w:val="000000" w:themeColor="text1"/>
          <w:sz w:val="28"/>
          <w:szCs w:val="28"/>
          <w:rtl/>
          <w:lang w:bidi="fa-IR"/>
        </w:rPr>
        <w:softHyphen/>
        <w:t>کنيم ان شاء الله.</w:t>
      </w:r>
    </w:p>
    <w:p w14:paraId="46480127" w14:textId="77777777" w:rsidR="007F2329" w:rsidRDefault="007F2329" w:rsidP="007F2329">
      <w:pPr>
        <w:rPr>
          <w:rFonts w:cs="Abz-2 (Badr)" w:hint="cs"/>
          <w:color w:val="000000" w:themeColor="text1"/>
          <w:sz w:val="28"/>
          <w:szCs w:val="28"/>
          <w:rtl/>
          <w:lang w:bidi="fa-IR"/>
        </w:rPr>
      </w:pPr>
      <w:r>
        <w:rPr>
          <w:rFonts w:cs="Abz-2 (Badr)" w:hint="cs"/>
          <w:color w:val="000000" w:themeColor="text1"/>
          <w:sz w:val="28"/>
          <w:szCs w:val="28"/>
          <w:rtl/>
          <w:lang w:bidi="fa-IR"/>
        </w:rPr>
        <w:br w:type="page"/>
      </w:r>
    </w:p>
    <w:p w14:paraId="53610A83" w14:textId="77777777" w:rsidR="007F2329" w:rsidRDefault="007F2329" w:rsidP="007F232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pacing w:val="-6"/>
          <w:sz w:val="28"/>
          <w:szCs w:val="28"/>
          <w:rtl/>
        </w:rPr>
        <w:lastRenderedPageBreak/>
        <w:t>طرح العلامة في خصوص مسكن الزوجة فرعاً حيث قال</w:t>
      </w:r>
      <w:r>
        <w:rPr>
          <w:rFonts w:cs="Abz-2 (Badr)" w:hint="cs"/>
          <w:color w:val="000000" w:themeColor="text1"/>
          <w:spacing w:val="-6"/>
          <w:sz w:val="28"/>
          <w:szCs w:val="28"/>
          <w:rtl/>
          <w:lang w:bidi="fa-IR"/>
        </w:rPr>
        <w:t xml:space="preserve">: </w:t>
      </w:r>
      <w:r>
        <w:rPr>
          <w:rFonts w:cs="Abz-2 (Badr)" w:hint="cs"/>
          <w:color w:val="0070C0"/>
          <w:spacing w:val="-6"/>
          <w:sz w:val="28"/>
          <w:szCs w:val="28"/>
          <w:rtl/>
          <w:lang w:bidi="fa-IR"/>
        </w:rPr>
        <w:t>«</w:t>
      </w:r>
      <w:r>
        <w:rPr>
          <w:rFonts w:cs="Abz-2 (Badr)" w:hint="cs"/>
          <w:color w:val="0070C0"/>
          <w:spacing w:val="-6"/>
          <w:sz w:val="28"/>
          <w:szCs w:val="28"/>
          <w:rtl/>
          <w:lang w:bidi="ar"/>
        </w:rPr>
        <w:t>لو سكنت في منزلها ففي وجوب الأُجرة نظر.»</w:t>
      </w:r>
      <w:r>
        <w:rPr>
          <w:rFonts w:cs="Abz-2 (Badr)"/>
          <w:color w:val="000000" w:themeColor="text1"/>
          <w:sz w:val="28"/>
          <w:szCs w:val="28"/>
          <w:vertAlign w:val="superscript"/>
          <w:rtl/>
          <w:lang w:bidi="fa-IR"/>
        </w:rPr>
        <w:footnoteReference w:id="7"/>
      </w:r>
    </w:p>
    <w:p w14:paraId="4CDD1928" w14:textId="77777777" w:rsidR="007F2329" w:rsidRDefault="007F2329" w:rsidP="007F2329">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rPr>
        <w:t>وأوضح كاشف اللثام مراد العلامة بقوله</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lang w:bidi="ar"/>
        </w:rPr>
        <w:t>من كون الإسكان حقّاً لها، ولا يسقط الحقّ‌ بالسكوت عن المطالبة، فإذا لم يسلّم لها السكنى، كان لها عوضها وهي الأُجرة.</w:t>
      </w:r>
    </w:p>
    <w:p w14:paraId="591AFE01" w14:textId="77777777" w:rsidR="007F2329" w:rsidRDefault="007F2329" w:rsidP="007F2329">
      <w:pPr>
        <w:widowControl w:val="0"/>
        <w:bidi/>
        <w:spacing w:after="0"/>
        <w:ind w:firstLine="284"/>
        <w:jc w:val="both"/>
        <w:rPr>
          <w:rFonts w:cs="Abz-2 (Badr)"/>
          <w:color w:val="000000" w:themeColor="text1"/>
          <w:sz w:val="28"/>
          <w:szCs w:val="28"/>
          <w:lang w:bidi="fa-IR"/>
        </w:rPr>
      </w:pPr>
      <w:r>
        <w:rPr>
          <w:rFonts w:cs="Abz-2 (Badr)" w:hint="cs"/>
          <w:color w:val="0070C0"/>
          <w:sz w:val="28"/>
          <w:szCs w:val="28"/>
          <w:rtl/>
          <w:lang w:bidi="ar"/>
        </w:rPr>
        <w:t>ومن شيوع المسامحة في السكنى إذا كان لها منزل واعتياد التبرّع، وأنّ‌ الواجب هو الإسكان، ولا دليل على العوض إذا فات.»</w:t>
      </w:r>
      <w:r>
        <w:rPr>
          <w:rFonts w:cs="Abz-2 (Badr)"/>
          <w:color w:val="000000" w:themeColor="text1"/>
          <w:sz w:val="28"/>
          <w:szCs w:val="28"/>
          <w:vertAlign w:val="superscript"/>
          <w:rtl/>
          <w:lang w:bidi="fa-IR"/>
        </w:rPr>
        <w:footnoteReference w:id="8"/>
      </w:r>
    </w:p>
    <w:p w14:paraId="7B8F4A78"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fa-IR"/>
        </w:rPr>
      </w:pPr>
      <w:r>
        <w:rPr>
          <w:rFonts w:cs="Abz-2 (Badr)" w:hint="cs"/>
          <w:b/>
          <w:bCs/>
          <w:color w:val="000000" w:themeColor="text1"/>
          <w:sz w:val="28"/>
          <w:szCs w:val="28"/>
          <w:rtl/>
          <w:lang w:bidi="fa-IR"/>
        </w:rPr>
        <w:t>أقول:</w:t>
      </w:r>
      <w:r>
        <w:rPr>
          <w:rFonts w:cs="Abz-2 (Badr)" w:hint="cs"/>
          <w:color w:val="000000" w:themeColor="text1"/>
          <w:sz w:val="28"/>
          <w:szCs w:val="28"/>
          <w:rtl/>
          <w:lang w:bidi="fa-IR"/>
        </w:rPr>
        <w:t xml:space="preserve"> </w:t>
      </w:r>
      <w:r>
        <w:rPr>
          <w:rFonts w:cs="Abz-2 (Badr)" w:hint="cs"/>
          <w:color w:val="000000" w:themeColor="text1"/>
          <w:sz w:val="28"/>
          <w:szCs w:val="28"/>
          <w:rtl/>
        </w:rPr>
        <w:t>من الواضح أنّه لو قالت الزوجة للزوج: «إنّي أبقى في بيتي وعليك أن تدفع لي أُجرة ذلك» فقبل الزوج بهذا الأمر، فلا إشكال في وجوب دفع الأُجرة عليه.</w:t>
      </w:r>
    </w:p>
    <w:p w14:paraId="4328E331" w14:textId="77777777" w:rsidR="007F2329" w:rsidRDefault="007F2329" w:rsidP="007F2329">
      <w:pPr>
        <w:widowControl w:val="0"/>
        <w:bidi/>
        <w:spacing w:after="0" w:line="252" w:lineRule="auto"/>
        <w:ind w:firstLine="284"/>
        <w:jc w:val="both"/>
        <w:rPr>
          <w:rFonts w:cs="Abz-2 (Badr)"/>
          <w:color w:val="000000" w:themeColor="text1"/>
          <w:sz w:val="28"/>
          <w:szCs w:val="28"/>
        </w:rPr>
      </w:pPr>
      <w:r>
        <w:rPr>
          <w:rFonts w:cs="Abz-2 (Badr)" w:hint="cs"/>
          <w:color w:val="000000" w:themeColor="text1"/>
          <w:sz w:val="28"/>
          <w:szCs w:val="28"/>
          <w:rtl/>
        </w:rPr>
        <w:t>وأمّا إذا لم يقع مثل هذا التفاهم بينهما وبقيت الزوجة مدّة في منزلها ثمّ طالبت بعد ذلك بأُجرة تلك المدّة، فإنّ الزوج يكون ملزماً بدفع الأُجرة المذكورة؛ وذلك لأنّه في الفرض الذي يكون فيه الزوج متمكّناً من الإنفاق، فإذا لم يؤدّ النفقة ـ ولو لعدم مطالبة الزوجة ـ تستقرّ النفقة في ذمّته، إلا أن يثبت أنّ عدم المطالبة كان دالاً على إسقاط الزوجة لحقّها في النفقة.</w:t>
      </w:r>
    </w:p>
    <w:p w14:paraId="12A0A38C" w14:textId="77777777" w:rsidR="007F2329" w:rsidRDefault="007F2329" w:rsidP="007F2329">
      <w:pPr>
        <w:widowControl w:val="0"/>
        <w:bidi/>
        <w:spacing w:after="0" w:line="252" w:lineRule="auto"/>
        <w:ind w:firstLine="284"/>
        <w:jc w:val="both"/>
        <w:rPr>
          <w:rFonts w:cs="Abz-2 (Badr)" w:hint="cs"/>
          <w:color w:val="0070C0"/>
          <w:sz w:val="28"/>
          <w:szCs w:val="28"/>
          <w:rtl/>
          <w:lang w:bidi="fa-IR"/>
        </w:rPr>
      </w:pPr>
      <w:r>
        <w:rPr>
          <w:rFonts w:cs="Abz-2 (Badr)" w:hint="cs"/>
          <w:color w:val="000000" w:themeColor="text1"/>
          <w:sz w:val="28"/>
          <w:szCs w:val="28"/>
          <w:rtl/>
        </w:rPr>
        <w:t xml:space="preserve">وکذا قال العلامة فيما يتعلّق باللباس: </w:t>
      </w:r>
      <w:r>
        <w:rPr>
          <w:rFonts w:cs="Abz-2 (Badr)" w:hint="cs"/>
          <w:color w:val="0070C0"/>
          <w:sz w:val="28"/>
          <w:szCs w:val="28"/>
          <w:rtl/>
        </w:rPr>
        <w:t>«إذا كانت من ذوي التجمّل، وجب لها ـ زيادة على ثياب البذلة ـ ثياب التجمّل بنسبة حال أمثالها.»</w:t>
      </w:r>
      <w:r>
        <w:rPr>
          <w:rFonts w:cs="Abz-2 (Badr)"/>
          <w:color w:val="000000" w:themeColor="text1"/>
          <w:sz w:val="28"/>
          <w:szCs w:val="28"/>
          <w:vertAlign w:val="superscript"/>
          <w:rtl/>
          <w:lang w:bidi="fa-IR"/>
        </w:rPr>
        <w:footnoteReference w:id="9"/>
      </w:r>
    </w:p>
    <w:p w14:paraId="37AEF60C" w14:textId="77777777" w:rsidR="007F2329" w:rsidRDefault="007F2329" w:rsidP="007F2329">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rPr>
        <w:t>غير أنّ السيّد السيستاني ـ مع قبوله أصل هذا المطلب ـ يقول</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lang w:bidi="ar"/>
        </w:rPr>
        <w:t>نعم، ما تعارف عند بعض النساء من تكثير الألبسة النفيسة، خارج عن النفقة الواجبة، فضلاً عمّا تعارف عند جمع منهنّ من لبس بعض الألبسة مرّة أو مرّتين في بعض المناسبات ثمّ استبداله بآخر مختلف عنه نوعاً أو هيئة في المناسبات الأُخرى.»</w:t>
      </w:r>
      <w:r>
        <w:rPr>
          <w:rFonts w:cs="Abz-2 (Badr)"/>
          <w:color w:val="000000" w:themeColor="text1"/>
          <w:sz w:val="28"/>
          <w:szCs w:val="28"/>
          <w:vertAlign w:val="superscript"/>
          <w:rtl/>
          <w:lang w:bidi="fa-IR"/>
        </w:rPr>
        <w:footnoteReference w:id="10"/>
      </w:r>
    </w:p>
    <w:p w14:paraId="4E21E913"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rPr>
        <w:t>ووجه هذا الكلام هو بعينه ما تقدّم في مسألة الحاجة إلى تعدّد الخوادم الزائدة على المقدار الذي يتوقّف عليه ترتيب شؤون الزوجة</w:t>
      </w:r>
      <w:r>
        <w:rPr>
          <w:rFonts w:cs="Abz-2 (Badr)" w:hint="cs"/>
          <w:color w:val="000000" w:themeColor="text1"/>
          <w:sz w:val="28"/>
          <w:szCs w:val="28"/>
          <w:rtl/>
          <w:lang w:bidi="fa-IR"/>
        </w:rPr>
        <w:t>.</w:t>
      </w:r>
    </w:p>
    <w:p w14:paraId="05F75905"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fa-IR"/>
        </w:rPr>
      </w:pPr>
    </w:p>
    <w:p w14:paraId="7D1EC37E" w14:textId="77777777" w:rsidR="007F2329" w:rsidRDefault="007F2329" w:rsidP="007F2329">
      <w:pPr>
        <w:widowControl w:val="0"/>
        <w:bidi/>
        <w:spacing w:after="0" w:line="252" w:lineRule="auto"/>
        <w:ind w:left="1701"/>
        <w:jc w:val="both"/>
        <w:rPr>
          <w:rFonts w:cs="Abz-2 (Badr)" w:hint="cs"/>
          <w:color w:val="00B050"/>
          <w:sz w:val="28"/>
          <w:szCs w:val="28"/>
          <w:rtl/>
          <w:lang w:bidi="ar"/>
        </w:rPr>
      </w:pPr>
      <w:r>
        <w:rPr>
          <w:rFonts w:cs="Abz-2 (Badr)" w:hint="cs"/>
          <w:color w:val="00B050"/>
          <w:sz w:val="28"/>
          <w:szCs w:val="28"/>
          <w:rtl/>
          <w:lang w:bidi="ar"/>
        </w:rPr>
        <w:t>قال المحقّق الحلّي: «وأمّا اللواحق فمسائل:</w:t>
      </w:r>
    </w:p>
    <w:p w14:paraId="203EBF32" w14:textId="77777777" w:rsidR="007F2329" w:rsidRDefault="007F2329" w:rsidP="007F2329">
      <w:pPr>
        <w:widowControl w:val="0"/>
        <w:bidi/>
        <w:spacing w:after="0" w:line="252" w:lineRule="auto"/>
        <w:ind w:left="1701"/>
        <w:jc w:val="both"/>
        <w:rPr>
          <w:rFonts w:cs="Abz-2 (Badr)"/>
          <w:color w:val="00B050"/>
          <w:sz w:val="28"/>
          <w:szCs w:val="28"/>
          <w:lang w:bidi="ar"/>
        </w:rPr>
      </w:pPr>
      <w:r>
        <w:rPr>
          <w:rFonts w:cs="Abz-2 (Badr)" w:hint="cs"/>
          <w:color w:val="00B050"/>
          <w:sz w:val="28"/>
          <w:szCs w:val="28"/>
          <w:rtl/>
          <w:lang w:bidi="ar"/>
        </w:rPr>
        <w:t>الأُولى: لو قالت: «أنا أخدم نفسي ولي نفقة الخادم» لم يجب إجابتها.</w:t>
      </w:r>
    </w:p>
    <w:p w14:paraId="2239B5E9" w14:textId="77777777" w:rsidR="007F2329" w:rsidRDefault="007F2329" w:rsidP="007F2329">
      <w:pPr>
        <w:widowControl w:val="0"/>
        <w:bidi/>
        <w:spacing w:after="0" w:line="252" w:lineRule="auto"/>
        <w:ind w:left="1701"/>
        <w:jc w:val="both"/>
        <w:rPr>
          <w:rFonts w:cs="Abz-2 (Badr)" w:hint="cs"/>
          <w:color w:val="0070C0"/>
          <w:sz w:val="28"/>
          <w:szCs w:val="28"/>
          <w:rtl/>
          <w:lang w:bidi="fa-IR"/>
        </w:rPr>
      </w:pPr>
      <w:r>
        <w:rPr>
          <w:rFonts w:cs="Abz-2 (Badr)" w:hint="cs"/>
          <w:color w:val="00B050"/>
          <w:sz w:val="28"/>
          <w:szCs w:val="28"/>
          <w:rtl/>
          <w:lang w:bidi="ar"/>
        </w:rPr>
        <w:t>ولو بادرت بالخدمة من غير إذن لم يكن لها المطالبة.»</w:t>
      </w:r>
      <w:r>
        <w:rPr>
          <w:rStyle w:val="FootnoteReference"/>
          <w:rFonts w:cs="Abz-2 (Badr)"/>
          <w:color w:val="000000" w:themeColor="text1"/>
          <w:sz w:val="28"/>
          <w:szCs w:val="28"/>
          <w:rtl/>
          <w:lang w:bidi="ar"/>
        </w:rPr>
        <w:footnoteReference w:id="11"/>
      </w:r>
    </w:p>
    <w:p w14:paraId="1B046FD5"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fa-IR"/>
        </w:rPr>
      </w:pPr>
    </w:p>
    <w:p w14:paraId="1442FD19"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rPr>
        <w:t>إذا كانت الزوجة ممّن يليق بشأنها أن يكون لها خادمة لكنّها طلبت من الزوج أن يدفع لها أُجرة نفقة الخادمة عوضاً عن توفير الخادمة نفسها، فهل يجب على الزوج إجابة هذا الطلب؟</w:t>
      </w:r>
    </w:p>
    <w:p w14:paraId="68F45CD4" w14:textId="77777777" w:rsidR="007F2329" w:rsidRDefault="007F2329" w:rsidP="007F2329">
      <w:pPr>
        <w:widowControl w:val="0"/>
        <w:bidi/>
        <w:spacing w:after="0" w:line="252" w:lineRule="auto"/>
        <w:ind w:firstLine="284"/>
        <w:jc w:val="both"/>
        <w:rPr>
          <w:rFonts w:cs="Abz-2 (Badr)"/>
          <w:color w:val="0070C0"/>
          <w:sz w:val="28"/>
          <w:szCs w:val="28"/>
          <w:lang w:bidi="ar"/>
        </w:rPr>
      </w:pPr>
      <w:r>
        <w:rPr>
          <w:rFonts w:cs="Abz-2 (Badr)" w:hint="cs"/>
          <w:color w:val="000000" w:themeColor="text1"/>
          <w:sz w:val="28"/>
          <w:szCs w:val="28"/>
          <w:rtl/>
          <w:lang w:bidi="fa-IR"/>
        </w:rPr>
        <w:t xml:space="preserve">قال الشيخ في المبسوط: </w:t>
      </w:r>
      <w:r>
        <w:rPr>
          <w:rFonts w:cs="Abz-2 (Badr)" w:hint="cs"/>
          <w:color w:val="0070C0"/>
          <w:sz w:val="28"/>
          <w:szCs w:val="28"/>
          <w:rtl/>
          <w:lang w:bidi="fa-IR"/>
        </w:rPr>
        <w:t>«إ</w:t>
      </w:r>
      <w:r>
        <w:rPr>
          <w:rFonts w:cs="Abz-2 (Badr)" w:hint="cs"/>
          <w:color w:val="0070C0"/>
          <w:sz w:val="28"/>
          <w:szCs w:val="28"/>
          <w:rtl/>
          <w:lang w:bidi="ar"/>
        </w:rPr>
        <w:t>ن قالت: «لست أختار أن يخدمني أحد، وإنّى أخدم نفسي وآخذ ما كان يأخذه خادمي»، لم يكن ذلك لها، لأنّ الخدمة لأجل الترفّه والدعة، فإذا لم تختر ذلك وطلبت الخدمة، لم يكن لها عوض.»</w:t>
      </w:r>
      <w:r>
        <w:rPr>
          <w:rStyle w:val="FootnoteReference"/>
          <w:rFonts w:cs="Abz-2 (Badr)"/>
          <w:color w:val="000000" w:themeColor="text1"/>
          <w:sz w:val="28"/>
          <w:szCs w:val="28"/>
          <w:rtl/>
          <w:lang w:bidi="ar"/>
        </w:rPr>
        <w:footnoteReference w:id="12"/>
      </w:r>
    </w:p>
    <w:p w14:paraId="019A2C6D"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ar"/>
        </w:rPr>
      </w:pPr>
      <w:r>
        <w:rPr>
          <w:rFonts w:cs="Abz-2 (Badr)" w:hint="cs"/>
          <w:color w:val="000000" w:themeColor="text1"/>
          <w:sz w:val="28"/>
          <w:szCs w:val="28"/>
          <w:rtl/>
        </w:rPr>
        <w:t>والحقّ أنّ ما أفاده تامّ؛ لأنّ الواجب على الزوج إنّما هو توفير ما يكون لائقاً بشأن الزوجة من النفقة، فإذا صرفت الزوجة النظر عن ذلك، فلا يبقى هناك واجب على الزوج. وليس من وظيفة الزوج أن يلتزم بتوفير شيء ل</w:t>
      </w:r>
      <w:r>
        <w:rPr>
          <w:rFonts w:cs="Abz-2 (Badr)" w:hint="cs"/>
          <w:color w:val="000000" w:themeColor="text1"/>
          <w:sz w:val="28"/>
          <w:szCs w:val="28"/>
          <w:rtl/>
          <w:lang w:bidi="fa-IR"/>
        </w:rPr>
        <w:t xml:space="preserve">ا يعدّ </w:t>
      </w:r>
      <w:r>
        <w:rPr>
          <w:rFonts w:cs="Abz-2 (Badr)" w:hint="cs"/>
          <w:color w:val="000000" w:themeColor="text1"/>
          <w:sz w:val="28"/>
          <w:szCs w:val="28"/>
          <w:rtl/>
        </w:rPr>
        <w:t>من نفقة الزوجة لمجرّد أنّها تطالب بجعله بدلاً عن نفقتها.</w:t>
      </w:r>
    </w:p>
    <w:p w14:paraId="12A70B4C" w14:textId="77777777" w:rsidR="007F2329" w:rsidRDefault="007F2329" w:rsidP="007F2329">
      <w:pPr>
        <w:widowControl w:val="0"/>
        <w:bidi/>
        <w:spacing w:after="0" w:line="252" w:lineRule="auto"/>
        <w:ind w:firstLine="284"/>
        <w:jc w:val="both"/>
        <w:rPr>
          <w:rFonts w:cs="Abz-2 (Badr)"/>
          <w:color w:val="000000" w:themeColor="text1"/>
          <w:sz w:val="28"/>
          <w:szCs w:val="28"/>
          <w:lang w:bidi="ar"/>
        </w:rPr>
      </w:pPr>
      <w:r>
        <w:rPr>
          <w:rFonts w:cs="Abz-2 (Badr)" w:hint="cs"/>
          <w:color w:val="000000" w:themeColor="text1"/>
          <w:sz w:val="28"/>
          <w:szCs w:val="28"/>
          <w:rtl/>
        </w:rPr>
        <w:t xml:space="preserve">ويجري نظير هذا الكلام في سائر الموارد التي تجب على الزوج من باب النفقة؛ فمثلاً لو قالت الزوجة للزوج: «أسكن في بيتي وعليك أن تدفع لي أُجرة المسكن»، أو قالت: «أقتصد في مأكلي ومشربي، فادفع لي بدل ما يزيد على مقدار ما أستهلكه ممّا يجب عليك </w:t>
      </w:r>
      <w:r>
        <w:rPr>
          <w:rFonts w:cs="Abz-2 (Badr)" w:hint="cs"/>
          <w:color w:val="000000" w:themeColor="text1"/>
          <w:sz w:val="28"/>
          <w:szCs w:val="28"/>
          <w:rtl/>
          <w:lang w:bidi="fa-IR"/>
        </w:rPr>
        <w:t>دفعه نفقةً</w:t>
      </w:r>
      <w:r>
        <w:rPr>
          <w:rFonts w:cs="Abz-2 (Badr)" w:hint="cs"/>
          <w:color w:val="000000" w:themeColor="text1"/>
          <w:sz w:val="28"/>
          <w:szCs w:val="28"/>
          <w:rtl/>
        </w:rPr>
        <w:t>»، فإنّ إجابة هذه المطالب غير واجبة على الزوج</w:t>
      </w:r>
      <w:r>
        <w:rPr>
          <w:rFonts w:cs="Abz-2 (Badr)" w:hint="cs"/>
          <w:color w:val="000000" w:themeColor="text1"/>
          <w:sz w:val="28"/>
          <w:szCs w:val="28"/>
          <w:rtl/>
          <w:lang w:bidi="ar"/>
        </w:rPr>
        <w:t>.</w:t>
      </w:r>
    </w:p>
    <w:p w14:paraId="2D6910D8"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ونؤجّل متابعة البحث إلى الجلسة القادمة إن شاء الله تعالی.</w:t>
      </w:r>
    </w:p>
    <w:p w14:paraId="32B7F038" w14:textId="77777777" w:rsidR="007F2329" w:rsidRDefault="007F2329" w:rsidP="007F2329">
      <w:pPr>
        <w:widowControl w:val="0"/>
        <w:bidi/>
        <w:spacing w:after="0" w:line="252" w:lineRule="auto"/>
        <w:ind w:firstLine="284"/>
        <w:jc w:val="both"/>
        <w:rPr>
          <w:rFonts w:cs="Abz-2 (Badr)" w:hint="cs"/>
          <w:color w:val="000000" w:themeColor="text1"/>
          <w:sz w:val="28"/>
          <w:szCs w:val="28"/>
          <w:rtl/>
          <w:lang w:bidi="ar"/>
        </w:rPr>
      </w:pPr>
    </w:p>
    <w:p w14:paraId="558769F3" w14:textId="77777777" w:rsidR="007F2329" w:rsidRDefault="007F2329" w:rsidP="007F2329">
      <w:pPr>
        <w:widowControl w:val="0"/>
        <w:bidi/>
        <w:spacing w:after="0" w:line="252" w:lineRule="auto"/>
        <w:ind w:firstLine="284"/>
        <w:jc w:val="both"/>
        <w:rPr>
          <w:rFonts w:cs="Abz-2 (Badr)"/>
          <w:color w:val="000000" w:themeColor="text1"/>
          <w:sz w:val="28"/>
          <w:szCs w:val="28"/>
          <w:lang w:bidi="ar"/>
        </w:rPr>
      </w:pPr>
    </w:p>
    <w:p w14:paraId="46F86A0E" w14:textId="77777777" w:rsidR="007F2329" w:rsidRDefault="007F2329" w:rsidP="007F2329">
      <w:pPr>
        <w:widowControl w:val="0"/>
        <w:bidi/>
        <w:spacing w:after="0" w:line="252" w:lineRule="auto"/>
        <w:ind w:firstLine="284"/>
        <w:jc w:val="both"/>
        <w:rPr>
          <w:rFonts w:cs="Abz-2 (Badr)"/>
          <w:color w:val="000000" w:themeColor="text1"/>
          <w:sz w:val="28"/>
          <w:szCs w:val="28"/>
          <w:lang w:bidi="fa-IR"/>
        </w:rPr>
      </w:pPr>
    </w:p>
    <w:p w14:paraId="2AD04477" w14:textId="7D63A4A4" w:rsidR="00B706A3" w:rsidRPr="007F2329" w:rsidRDefault="00B706A3" w:rsidP="007F2329">
      <w:pPr>
        <w:rPr>
          <w:rtl/>
        </w:rPr>
      </w:pPr>
    </w:p>
    <w:sectPr w:rsidR="00B706A3" w:rsidRPr="007F2329"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8BE03" w14:textId="77777777" w:rsidR="00D33198" w:rsidRDefault="00D33198" w:rsidP="00F71127">
      <w:pPr>
        <w:spacing w:after="0" w:line="240" w:lineRule="auto"/>
      </w:pPr>
      <w:r>
        <w:separator/>
      </w:r>
    </w:p>
  </w:endnote>
  <w:endnote w:type="continuationSeparator" w:id="0">
    <w:p w14:paraId="7CDB6E98" w14:textId="77777777" w:rsidR="00D33198" w:rsidRDefault="00D33198"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3CC6" w14:textId="77777777" w:rsidR="0044129D" w:rsidRDefault="00441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3703" w14:textId="77777777" w:rsidR="0044129D" w:rsidRDefault="00441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B7F03" w14:textId="77777777" w:rsidR="00D33198" w:rsidRDefault="00D33198" w:rsidP="00EE25C0">
      <w:pPr>
        <w:bidi/>
        <w:spacing w:after="0" w:line="240" w:lineRule="auto"/>
      </w:pPr>
      <w:r>
        <w:separator/>
      </w:r>
    </w:p>
  </w:footnote>
  <w:footnote w:type="continuationSeparator" w:id="0">
    <w:p w14:paraId="14F2B631" w14:textId="77777777" w:rsidR="00D33198" w:rsidRDefault="00D33198" w:rsidP="00F71127">
      <w:pPr>
        <w:bidi/>
        <w:spacing w:after="0" w:line="240" w:lineRule="auto"/>
      </w:pPr>
      <w:r>
        <w:continuationSeparator/>
      </w:r>
    </w:p>
  </w:footnote>
  <w:footnote w:id="1">
    <w:p w14:paraId="430963EB" w14:textId="77777777" w:rsidR="007F2329" w:rsidRDefault="007F2329" w:rsidP="007F2329">
      <w:pPr>
        <w:pStyle w:val="FootnoteText"/>
        <w:bidi/>
        <w:rPr>
          <w:rFonts w:cs="Abz-2 (Badr)" w:hint="cs"/>
          <w:rtl/>
          <w:lang w:bidi="fa-IR"/>
        </w:rPr>
      </w:pPr>
      <w:r>
        <w:rPr>
          <w:rFonts w:cs="Abz-2 (Badr)"/>
          <w:lang w:bidi="fa-IR"/>
        </w:rPr>
        <w:footnoteRef/>
      </w:r>
      <w:r>
        <w:rPr>
          <w:rFonts w:cs="Abz-2 (Badr)" w:hint="cs"/>
          <w:rtl/>
          <w:lang w:bidi="fa-IR"/>
        </w:rPr>
        <w:t> ـ قواعد،ج3،ص108.</w:t>
      </w:r>
    </w:p>
  </w:footnote>
  <w:footnote w:id="2">
    <w:p w14:paraId="5A4AF720" w14:textId="77777777" w:rsidR="007F2329" w:rsidRDefault="007F2329" w:rsidP="007F2329">
      <w:pPr>
        <w:pStyle w:val="FootnoteText"/>
        <w:bidi/>
        <w:rPr>
          <w:rFonts w:cs="Abz-2 (Badr)" w:hint="cs"/>
          <w:rtl/>
          <w:lang w:bidi="fa-IR"/>
        </w:rPr>
      </w:pPr>
      <w:r>
        <w:rPr>
          <w:rFonts w:cs="Abz-2 (Badr)"/>
          <w:lang w:bidi="fa-IR"/>
        </w:rPr>
        <w:footnoteRef/>
      </w:r>
      <w:r>
        <w:rPr>
          <w:rFonts w:cs="Abz-2 (Badr)" w:hint="cs"/>
          <w:rtl/>
          <w:lang w:bidi="fa-IR"/>
        </w:rPr>
        <w:t> ـ کشف اللثام،ج7،ص576.</w:t>
      </w:r>
    </w:p>
  </w:footnote>
  <w:footnote w:id="3">
    <w:p w14:paraId="08F76EC7" w14:textId="77777777" w:rsidR="007F2329" w:rsidRDefault="007F2329" w:rsidP="007F2329">
      <w:pPr>
        <w:pStyle w:val="FootnoteText"/>
        <w:bidi/>
        <w:rPr>
          <w:rFonts w:cs="Abz-2 (Badr)" w:hint="cs"/>
          <w:rtl/>
          <w:lang w:bidi="fa-IR"/>
        </w:rPr>
      </w:pPr>
      <w:r>
        <w:rPr>
          <w:rFonts w:cs="Abz-2 (Badr)"/>
          <w:lang w:bidi="fa-IR"/>
        </w:rPr>
        <w:footnoteRef/>
      </w:r>
      <w:r>
        <w:rPr>
          <w:rFonts w:cs="Abz-2 (Badr)" w:hint="cs"/>
          <w:rtl/>
          <w:lang w:bidi="fa-IR"/>
        </w:rPr>
        <w:t> ـ قواعد،ج3،ص105.</w:t>
      </w:r>
    </w:p>
  </w:footnote>
  <w:footnote w:id="4">
    <w:p w14:paraId="17618E34" w14:textId="77777777" w:rsidR="007F2329" w:rsidRDefault="007F2329" w:rsidP="007F2329">
      <w:pPr>
        <w:pStyle w:val="FootnoteText"/>
        <w:bidi/>
        <w:rPr>
          <w:rFonts w:cs="Abz-2 (Badr)" w:hint="cs"/>
          <w:rtl/>
          <w:lang w:bidi="fa-IR"/>
        </w:rPr>
      </w:pPr>
      <w:r>
        <w:rPr>
          <w:rFonts w:cs="Abz-2 (Badr)"/>
          <w:lang w:bidi="fa-IR"/>
        </w:rPr>
        <w:footnoteRef/>
      </w:r>
      <w:r>
        <w:rPr>
          <w:rFonts w:cs="Abz-2 (Badr)" w:hint="cs"/>
          <w:rtl/>
          <w:lang w:bidi="fa-IR"/>
        </w:rPr>
        <w:t> ـ منهاج الصالحين،ج3،ص125 و 126، مسأله 420.</w:t>
      </w:r>
    </w:p>
  </w:footnote>
  <w:footnote w:id="5">
    <w:p w14:paraId="1499266D" w14:textId="77777777" w:rsidR="007F2329" w:rsidRDefault="007F2329" w:rsidP="007F232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شرائع الإسلام</w:t>
      </w:r>
      <w:r>
        <w:rPr>
          <w:rFonts w:cs="Abz-2 (Badr)" w:hint="cs"/>
          <w:rtl/>
          <w:lang w:bidi="fa-IR"/>
        </w:rPr>
        <w:t>،ج2،ص293.</w:t>
      </w:r>
    </w:p>
  </w:footnote>
  <w:footnote w:id="6">
    <w:p w14:paraId="5263ECA7" w14:textId="77777777" w:rsidR="007F2329" w:rsidRDefault="007F2329" w:rsidP="007F232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مبسوط</w:t>
      </w:r>
      <w:r>
        <w:rPr>
          <w:rFonts w:cs="Abz-2 (Badr)" w:hint="cs"/>
          <w:rtl/>
          <w:lang w:bidi="fa-IR"/>
        </w:rPr>
        <w:t>،ج6،ص5.</w:t>
      </w:r>
    </w:p>
  </w:footnote>
  <w:footnote w:id="7">
    <w:p w14:paraId="5E7AA054" w14:textId="77777777" w:rsidR="007F2329" w:rsidRDefault="007F2329" w:rsidP="007F2329">
      <w:pPr>
        <w:pStyle w:val="FootnoteText"/>
        <w:bidi/>
        <w:rPr>
          <w:rFonts w:cs="Abz-2 (Badr)" w:hint="cs"/>
          <w:rtl/>
          <w:lang w:bidi="fa-IR"/>
        </w:rPr>
      </w:pPr>
      <w:r>
        <w:rPr>
          <w:rFonts w:cs="Abz-2 (Badr)"/>
          <w:lang w:bidi="fa-IR"/>
        </w:rPr>
        <w:footnoteRef/>
      </w:r>
      <w:r>
        <w:rPr>
          <w:rFonts w:cs="Abz-2 (Badr)" w:hint="cs"/>
          <w:rtl/>
          <w:lang w:bidi="fa-IR"/>
        </w:rPr>
        <w:t> ـ قواعد الأحکام،ج3،ص108.</w:t>
      </w:r>
    </w:p>
  </w:footnote>
  <w:footnote w:id="8">
    <w:p w14:paraId="2165924E" w14:textId="77777777" w:rsidR="007F2329" w:rsidRDefault="007F2329" w:rsidP="007F2329">
      <w:pPr>
        <w:pStyle w:val="FootnoteText"/>
        <w:bidi/>
        <w:rPr>
          <w:rFonts w:cs="Abz-2 (Badr)" w:hint="cs"/>
          <w:rtl/>
          <w:lang w:bidi="fa-IR"/>
        </w:rPr>
      </w:pPr>
      <w:r>
        <w:rPr>
          <w:rFonts w:cs="Abz-2 (Badr)"/>
          <w:lang w:bidi="fa-IR"/>
        </w:rPr>
        <w:footnoteRef/>
      </w:r>
      <w:r>
        <w:rPr>
          <w:rFonts w:cs="Abz-2 (Badr)" w:hint="cs"/>
          <w:rtl/>
          <w:lang w:bidi="fa-IR"/>
        </w:rPr>
        <w:t> ـ کشف اللثام،ج7،ص576.</w:t>
      </w:r>
    </w:p>
  </w:footnote>
  <w:footnote w:id="9">
    <w:p w14:paraId="50AA815E" w14:textId="77777777" w:rsidR="007F2329" w:rsidRDefault="007F2329" w:rsidP="007F2329">
      <w:pPr>
        <w:pStyle w:val="FootnoteText"/>
        <w:bidi/>
        <w:rPr>
          <w:rFonts w:cs="Abz-2 (Badr)" w:hint="cs"/>
          <w:rtl/>
          <w:lang w:bidi="fa-IR"/>
        </w:rPr>
      </w:pPr>
      <w:r>
        <w:rPr>
          <w:rFonts w:cs="Abz-2 (Badr)"/>
          <w:lang w:bidi="fa-IR"/>
        </w:rPr>
        <w:footnoteRef/>
      </w:r>
      <w:r>
        <w:rPr>
          <w:rFonts w:cs="Abz-2 (Badr)" w:hint="cs"/>
          <w:rtl/>
          <w:lang w:bidi="fa-IR"/>
        </w:rPr>
        <w:t> ـ قواعد الأحکام،ج3،ص105.</w:t>
      </w:r>
    </w:p>
  </w:footnote>
  <w:footnote w:id="10">
    <w:p w14:paraId="3831D47B" w14:textId="77777777" w:rsidR="007F2329" w:rsidRDefault="007F2329" w:rsidP="007F2329">
      <w:pPr>
        <w:pStyle w:val="FootnoteText"/>
        <w:bidi/>
        <w:rPr>
          <w:rFonts w:cs="Abz-2 (Badr)" w:hint="cs"/>
          <w:rtl/>
          <w:lang w:bidi="fa-IR"/>
        </w:rPr>
      </w:pPr>
      <w:r>
        <w:rPr>
          <w:rFonts w:cs="Abz-2 (Badr)"/>
          <w:lang w:bidi="fa-IR"/>
        </w:rPr>
        <w:footnoteRef/>
      </w:r>
      <w:r>
        <w:rPr>
          <w:rFonts w:cs="Abz-2 (Badr)" w:hint="cs"/>
          <w:rtl/>
          <w:lang w:bidi="fa-IR"/>
        </w:rPr>
        <w:t> ـ منهاج الصالحين،ج3،ص125 و 126، مسأله 420.</w:t>
      </w:r>
    </w:p>
  </w:footnote>
  <w:footnote w:id="11">
    <w:p w14:paraId="6AB14AA6" w14:textId="77777777" w:rsidR="007F2329" w:rsidRDefault="007F2329" w:rsidP="007F232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شرائع الإسلام</w:t>
      </w:r>
      <w:r>
        <w:rPr>
          <w:rFonts w:cs="Abz-2 (Badr)" w:hint="cs"/>
          <w:rtl/>
          <w:lang w:bidi="fa-IR"/>
        </w:rPr>
        <w:t>،ج2،ص293.</w:t>
      </w:r>
    </w:p>
  </w:footnote>
  <w:footnote w:id="12">
    <w:p w14:paraId="2E89A596" w14:textId="77777777" w:rsidR="007F2329" w:rsidRDefault="007F2329" w:rsidP="007F232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المبسوط</w:t>
      </w:r>
      <w:r>
        <w:rPr>
          <w:rFonts w:cs="Abz-2 (Badr)" w:hint="cs"/>
          <w:rtl/>
          <w:lang w:bidi="fa-IR"/>
        </w:rPr>
        <w:t>،ج6،ص5.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9075" w14:textId="77777777" w:rsidR="0044129D" w:rsidRDefault="004412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1C47A7FA"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44129D">
                            <w:rPr>
                              <w:rFonts w:cs="B Mehr" w:hint="cs"/>
                              <w:rtl/>
                              <w:lang w:bidi="fa-IR"/>
                            </w:rPr>
                            <w:t>22</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1C47A7FA"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44129D">
                      <w:rPr>
                        <w:rFonts w:cs="B Mehr" w:hint="cs"/>
                        <w:rtl/>
                        <w:lang w:bidi="fa-IR"/>
                      </w:rPr>
                      <w:t>22</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7EA4" w14:textId="77777777" w:rsidR="0044129D" w:rsidRDefault="004412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B7"/>
    <w:rsid w:val="00BD5502"/>
    <w:rsid w:val="00BD58AC"/>
    <w:rsid w:val="00BD610A"/>
    <w:rsid w:val="00BD644D"/>
    <w:rsid w:val="00BD64BC"/>
    <w:rsid w:val="00BD6EF3"/>
    <w:rsid w:val="00BE0CFA"/>
    <w:rsid w:val="00BE25C0"/>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21732</TotalTime>
  <Pages>1</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687</cp:revision>
  <cp:lastPrinted>2025-04-14T09:12:00Z</cp:lastPrinted>
  <dcterms:created xsi:type="dcterms:W3CDTF">2022-10-16T08:36:00Z</dcterms:created>
  <dcterms:modified xsi:type="dcterms:W3CDTF">2025-12-13T08:06:00Z</dcterms:modified>
</cp:coreProperties>
</file>