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39FB" w14:textId="77777777" w:rsidR="00753919" w:rsidRDefault="00753919" w:rsidP="00753919">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9364173" w14:textId="77777777" w:rsidR="00753919" w:rsidRDefault="00753919" w:rsidP="00753919">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6179CEF0" w14:textId="77777777" w:rsidR="00753919" w:rsidRDefault="00753919" w:rsidP="00753919">
      <w:pPr>
        <w:widowControl w:val="0"/>
        <w:bidi/>
        <w:spacing w:after="0"/>
        <w:jc w:val="center"/>
        <w:rPr>
          <w:rFonts w:cs="B Mitra" w:hint="cs"/>
          <w:b/>
          <w:bCs/>
          <w:sz w:val="32"/>
          <w:szCs w:val="32"/>
          <w:rtl/>
          <w:lang w:bidi="fa-IR"/>
        </w:rPr>
      </w:pPr>
      <w:r>
        <w:rPr>
          <w:rFonts w:cs="B Mitra" w:hint="cs"/>
          <w:b/>
          <w:bCs/>
          <w:sz w:val="32"/>
          <w:szCs w:val="32"/>
          <w:rtl/>
          <w:lang w:bidi="fa-IR"/>
        </w:rPr>
        <w:t>جلسه 880</w:t>
      </w:r>
    </w:p>
    <w:p w14:paraId="1904B830" w14:textId="77777777" w:rsidR="00753919" w:rsidRDefault="00753919" w:rsidP="00753919">
      <w:pPr>
        <w:widowControl w:val="0"/>
        <w:bidi/>
        <w:spacing w:after="0"/>
        <w:ind w:firstLine="284"/>
        <w:jc w:val="both"/>
        <w:rPr>
          <w:rFonts w:cs="Abz-2 (Badr)" w:hint="cs"/>
          <w:color w:val="000000" w:themeColor="text1"/>
          <w:sz w:val="28"/>
          <w:szCs w:val="28"/>
          <w:rtl/>
          <w:lang w:bidi="fa-IR"/>
        </w:rPr>
      </w:pPr>
      <w:bookmarkStart w:id="0" w:name="_Hlk159096966"/>
    </w:p>
    <w:p w14:paraId="651ACB99" w14:textId="77777777" w:rsidR="00753919" w:rsidRDefault="00753919" w:rsidP="00753919">
      <w:pPr>
        <w:widowControl w:val="0"/>
        <w:bidi/>
        <w:spacing w:after="0"/>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بحث در اين بود که اگر عادت فردیِ زوجه با عادت امثال او متفاوت باشد، کدام يک از آنها ملاک کمی يا کيفی نفقه خواهند بود؟</w:t>
      </w:r>
    </w:p>
    <w:p w14:paraId="50019555" w14:textId="77777777" w:rsidR="00753919" w:rsidRDefault="00753919" w:rsidP="00753919">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آنچه که از کلمات اصحاب بر می</w:t>
      </w:r>
      <w:r>
        <w:rPr>
          <w:rFonts w:cs="Abz-2 (Badr)" w:hint="cs"/>
          <w:color w:val="000000" w:themeColor="text1"/>
          <w:sz w:val="28"/>
          <w:szCs w:val="28"/>
          <w:rtl/>
          <w:lang w:bidi="fa-IR"/>
        </w:rPr>
        <w:softHyphen/>
        <w:t>آيد اين است که در اين موارد، عادت خود زوجه معتبر است.</w:t>
      </w:r>
    </w:p>
    <w:p w14:paraId="67CAB52B" w14:textId="77777777" w:rsidR="00753919" w:rsidRDefault="00753919" w:rsidP="00753919">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ولی آنچه که می</w:t>
      </w:r>
      <w:r>
        <w:rPr>
          <w:rFonts w:cs="Abz-2 (Badr)" w:hint="cs"/>
          <w:color w:val="000000" w:themeColor="text1"/>
          <w:sz w:val="28"/>
          <w:szCs w:val="28"/>
          <w:rtl/>
          <w:lang w:bidi="fa-IR"/>
        </w:rPr>
        <w:softHyphen/>
        <w:t>توان به آن ملتزم شد اين است که چنانچه عادت زوجه قبل از نکاح بيش از عادت امثال وی باشد، آنچه که معتبر است، عادت خود وی است، زيرا بر زوج واجب است آنچه که اقامه صلب و ظهر وی را می</w:t>
      </w:r>
      <w:r>
        <w:rPr>
          <w:rFonts w:cs="Abz-2 (Badr)" w:hint="cs"/>
          <w:color w:val="000000" w:themeColor="text1"/>
          <w:sz w:val="28"/>
          <w:szCs w:val="28"/>
          <w:rtl/>
          <w:lang w:bidi="fa-IR"/>
        </w:rPr>
        <w:softHyphen/>
        <w:t>کند، در اختيار وی قرار دهد، ولو بيش از عادت امثال وی باشد.</w:t>
      </w:r>
    </w:p>
    <w:p w14:paraId="669523E9" w14:textId="77777777" w:rsidR="00753919" w:rsidRDefault="00753919" w:rsidP="00753919">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اگر بخواهد عادت خود را بعد از نکاح تغيير دهد و بيش از چيزی که سابقاً مصرف می</w:t>
      </w:r>
      <w:r>
        <w:rPr>
          <w:rFonts w:cs="Abz-2 (Badr)" w:hint="cs"/>
          <w:color w:val="000000" w:themeColor="text1"/>
          <w:sz w:val="28"/>
          <w:szCs w:val="28"/>
          <w:rtl/>
          <w:lang w:bidi="fa-IR"/>
        </w:rPr>
        <w:softHyphen/>
        <w:t>کرده، مصرف کند، در صورتی حق اين کار را خواهد داشت که عادت امثال وی از اين جهت که زوجی به مانند زوج وی دارند، مقتضی اين امر باشد.</w:t>
      </w:r>
    </w:p>
    <w:p w14:paraId="028F9410" w14:textId="77777777" w:rsidR="00753919" w:rsidRDefault="00753919" w:rsidP="00753919">
      <w:pPr>
        <w:widowControl w:val="0"/>
        <w:bidi/>
        <w:spacing w:after="0"/>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اما در صورتی که عادت وی قبل از نکاح کمتر از عادت امثال وی باشد، چنانچه بعد از نکاح نيز به همان مقدار اکتفاء کند، زوج وظيفه</w:t>
      </w:r>
      <w:r>
        <w:rPr>
          <w:rFonts w:cs="Abz-2 (Badr)" w:hint="cs"/>
          <w:color w:val="000000" w:themeColor="text1"/>
          <w:spacing w:val="-4"/>
          <w:sz w:val="28"/>
          <w:szCs w:val="28"/>
          <w:rtl/>
          <w:lang w:bidi="fa-IR"/>
        </w:rPr>
        <w:softHyphen/>
        <w:t>ای زائد بر آن ندارد، اما اگر بخواهد که به عادت امثال خود عمل نمايد، بر زوج تهيه نفقه به همان مقدار واجب است، چون اقامه صلب زوجه عرفاً به همان مقدار صورت می</w:t>
      </w:r>
      <w:r>
        <w:rPr>
          <w:rFonts w:cs="Abz-2 (Badr)" w:hint="cs"/>
          <w:color w:val="000000" w:themeColor="text1"/>
          <w:spacing w:val="-4"/>
          <w:sz w:val="28"/>
          <w:szCs w:val="28"/>
          <w:rtl/>
          <w:lang w:bidi="fa-IR"/>
        </w:rPr>
        <w:softHyphen/>
        <w:t>پذيرد ولو سابقاً به مقدار کمتر اکتفاء می</w:t>
      </w:r>
      <w:r>
        <w:rPr>
          <w:rFonts w:cs="Abz-2 (Badr)" w:hint="cs"/>
          <w:color w:val="000000" w:themeColor="text1"/>
          <w:spacing w:val="-4"/>
          <w:sz w:val="28"/>
          <w:szCs w:val="28"/>
          <w:rtl/>
          <w:lang w:bidi="fa-IR"/>
        </w:rPr>
        <w:softHyphen/>
        <w:t>کرده است.</w:t>
      </w:r>
    </w:p>
    <w:p w14:paraId="592FEB4C"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می</w:t>
      </w:r>
      <w:r>
        <w:rPr>
          <w:rFonts w:cs="Abz-2 (Badr)" w:hint="cs"/>
          <w:color w:val="000000" w:themeColor="text1"/>
          <w:sz w:val="28"/>
          <w:szCs w:val="28"/>
          <w:rtl/>
          <w:lang w:bidi="fa-IR"/>
        </w:rPr>
        <w:softHyphen/>
        <w:t>توان گفت: عادت امثال، معياری برای تعيين پايين</w:t>
      </w:r>
      <w:r>
        <w:rPr>
          <w:rFonts w:cs="Abz-2 (Badr)" w:hint="cs"/>
          <w:color w:val="000000" w:themeColor="text1"/>
          <w:sz w:val="28"/>
          <w:szCs w:val="28"/>
          <w:rtl/>
          <w:lang w:bidi="fa-IR"/>
        </w:rPr>
        <w:softHyphen/>
        <w:t>ترين سطح نفقه زوجه است. اما در صورتی که عادت خود زوجه قبل از نکاح بيش از آن بوده باشد، لازم است که عادت شخصی خود وی مراعات گردد.</w:t>
      </w:r>
    </w:p>
    <w:p w14:paraId="1E62B960"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نتيجه اشکالی که صاحب جواهر در برخی از فروض مسأله مطرح کرده است و جلسه قبل ذکر آن گذشت، وجهی ندارد.</w:t>
      </w:r>
    </w:p>
    <w:p w14:paraId="4C6E5E88" w14:textId="77777777" w:rsidR="00753919" w:rsidRDefault="00753919" w:rsidP="00753919">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 xml:space="preserve"> اما چنانچه زوجه از نوع خاصی از خورشت که امثال وی آن را مصرف می</w:t>
      </w:r>
      <w:r>
        <w:rPr>
          <w:rFonts w:cs="Abz-2 (Badr)" w:hint="cs"/>
          <w:color w:val="000000" w:themeColor="text1"/>
          <w:sz w:val="28"/>
          <w:szCs w:val="28"/>
          <w:rtl/>
          <w:lang w:bidi="fa-IR"/>
        </w:rPr>
        <w:softHyphen/>
        <w:t xml:space="preserve">کنند، انزجار داشته باشد، علامه در خصوص اين مطلب فرموده است: </w:t>
      </w:r>
      <w:r>
        <w:rPr>
          <w:rFonts w:cs="Abz-2 (Badr)" w:hint="cs"/>
          <w:color w:val="0070C0"/>
          <w:sz w:val="28"/>
          <w:szCs w:val="28"/>
          <w:rtl/>
          <w:lang w:bidi="fa-IR"/>
        </w:rPr>
        <w:t>«</w:t>
      </w:r>
      <w:r>
        <w:rPr>
          <w:rFonts w:cs="Abz-2 (Badr)" w:hint="cs"/>
          <w:color w:val="0070C0"/>
          <w:sz w:val="28"/>
          <w:szCs w:val="28"/>
          <w:rtl/>
          <w:lang w:bidi="ar"/>
        </w:rPr>
        <w:t>ولو تبرّمت بجنس من الأُدم، فعليه السعي في الإبدال.»</w:t>
      </w:r>
      <w:r>
        <w:rPr>
          <w:rFonts w:cs="Abz-2 (Badr)"/>
          <w:color w:val="000000" w:themeColor="text1"/>
          <w:sz w:val="28"/>
          <w:szCs w:val="28"/>
          <w:vertAlign w:val="superscript"/>
          <w:rtl/>
          <w:lang w:bidi="fa-IR"/>
        </w:rPr>
        <w:footnoteReference w:id="1"/>
      </w:r>
    </w:p>
    <w:p w14:paraId="412D6C43"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کاشف اللثام توجيه اين مدعا را اين دانسته است که اين امر مقتضای معاشرت به معروف با زوجه است.</w:t>
      </w:r>
      <w:r>
        <w:rPr>
          <w:vertAlign w:val="superscript"/>
          <w:rtl/>
        </w:rPr>
        <w:footnoteReference w:id="2"/>
      </w:r>
    </w:p>
    <w:p w14:paraId="069F0C8D"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مطلب با علامه و کاشف اللثام است. البته اين مطلب به اين معنا نيست که زوجه حق دارد هر روز تعيين کند که چه غذايی اشتها دارد و بر زوج واجب است که آن را برای وی فراهم کند، بلکه بايد در اين خصوص از عرف تبعيت نمود؛ مثلاً عرفاً زوج نمی</w:t>
      </w:r>
      <w:r>
        <w:rPr>
          <w:rFonts w:cs="Abz-2 (Badr)" w:hint="cs"/>
          <w:color w:val="000000" w:themeColor="text1"/>
          <w:sz w:val="28"/>
          <w:szCs w:val="28"/>
          <w:rtl/>
          <w:lang w:bidi="fa-IR"/>
        </w:rPr>
        <w:softHyphen/>
        <w:t>تواند به دادن يک غذای خاص به زوجه اکتفاء کند و هر روز همان را برای وی تهيه کند، بلکه بايد تنوع در طعام را در حد عرفی مراعات نمايد.</w:t>
      </w:r>
    </w:p>
    <w:p w14:paraId="1EB13845" w14:textId="77777777" w:rsidR="00753919" w:rsidRDefault="00753919" w:rsidP="00753919">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0FC867A4"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كان البحث يدور حول أنّه إذا كانت عادة الزوجة الفرديّة تختلف عن عادة أمثالها، فأيّهما يكون المعيار في تحديد مقدار النفقة أو نوعها؟</w:t>
      </w:r>
    </w:p>
    <w:p w14:paraId="163CB760"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يظهر ممّا تقدّم من كلمات بعض الفقهاء في الجلسة السابقة أنّ العبرة في مثل هذه الحالات تكون بعادة الزوجة نفسها.</w:t>
      </w:r>
    </w:p>
    <w:p w14:paraId="3253AB94"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ولكن ما يمكن الالتزام به هو أنّه إذا كانت عادة الزوجة قبل العقد تزيد على عادة أمثالها، فإنّ المعتبر هو عادتها هي، لأنّ الزوج ملزم بأن يوفّر لها ما يقوم به صلبها وظهرها، وإن كان ذلك أكثر ممّا هو متعارف عليه عند أمثالها.</w:t>
      </w:r>
    </w:p>
    <w:p w14:paraId="4EEA0E1A"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نعم، إذا أرادت أن تغيّر عادتها بعد الزواج فتستهلك أكثر ممّا كانت تستهلكه سابقاً، فإنّما يكون لها هذا الحقّ فيما إذا كانت عادة أمثالها ـ ممن لهنّ زوج في مثل حال زوجها ـ تقتضي ذلك.</w:t>
      </w:r>
    </w:p>
    <w:p w14:paraId="042BE446"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أمّا إذا كانت عادة الزوجة قبل العقد أقلّ من عادة أمثالها، فإن اكتفت بعد الزواج بالمقدار نفسه، فلا تكلّف الزوج نفقة زائدة على ذلك. ولكن إذا أرادت أن تعمل بعادة أمثالها، وجب على الزوج أن يوفّر النفقة بذلك المقدار، لأنّ إقامة صلب الزوجة عرفاً تتحقّق بذلك الحدّ، وإن كانت تكتفي سابقاً بأقلّ منه</w:t>
      </w:r>
      <w:r>
        <w:rPr>
          <w:rFonts w:cs="Abz-2 (Badr)" w:hint="cs"/>
          <w:color w:val="000000" w:themeColor="text1"/>
          <w:sz w:val="28"/>
          <w:szCs w:val="28"/>
          <w:rtl/>
          <w:lang w:bidi="fa-IR"/>
        </w:rPr>
        <w:t>.</w:t>
      </w:r>
    </w:p>
    <w:p w14:paraId="22E10954"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وبناءً على ذلك يمكن أن نقول: إنّ عادة أمثال الزوجة تكون معياراً في تحديد الحدّ الأدنى لنفقتها. أمّا إذا كانت عادة الزوجة الشخصيّة قبل العقد أعلى من ذلك، فيجب عندئذٍ مراعاة عادتها هي في تعيين ما يجب علی الزوج دفعه لها من النفقة.</w:t>
      </w:r>
    </w:p>
    <w:p w14:paraId="2E2FA253"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وبالنتيجة فإنّ الإشكال الذي أورده صاحب الجواهر في بعض فروض المسألة ـ وقد ذكر في الجلسة السابقة ـ لا وجه له.</w:t>
      </w:r>
    </w:p>
    <w:p w14:paraId="74731694"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 xml:space="preserve">أمّا إذا كانت الزوجة تنزجر من نوع معيّن من الإدام الذي تستهلكه أمثالها، فقد قال العلامة في هذا الشأن: </w:t>
      </w:r>
      <w:r>
        <w:rPr>
          <w:rFonts w:cs="Abz-2 (Badr)" w:hint="cs"/>
          <w:color w:val="0070C0"/>
          <w:sz w:val="28"/>
          <w:szCs w:val="28"/>
          <w:rtl/>
        </w:rPr>
        <w:t>«ولو تبرّمت بجنس من الأُدم، فعليه السعي في الإبدال.»</w:t>
      </w:r>
      <w:r>
        <w:rPr>
          <w:rFonts w:cs="Abz-2 (Badr)"/>
          <w:color w:val="000000" w:themeColor="text1"/>
          <w:sz w:val="28"/>
          <w:szCs w:val="28"/>
          <w:vertAlign w:val="superscript"/>
          <w:rtl/>
          <w:lang w:bidi="fa-IR"/>
        </w:rPr>
        <w:footnoteReference w:id="3"/>
      </w:r>
      <w:r>
        <w:rPr>
          <w:rtl/>
          <w:lang w:bidi="fa-IR"/>
        </w:rPr>
        <w:t xml:space="preserve"> </w:t>
      </w:r>
      <w:r>
        <w:rPr>
          <w:rFonts w:cs="Abz-2 (Badr)" w:hint="cs"/>
          <w:color w:val="000000" w:themeColor="text1"/>
          <w:sz w:val="28"/>
          <w:szCs w:val="28"/>
          <w:rtl/>
        </w:rPr>
        <w:t>ووجّهه كاشف اللثام بأنّ ذلك مقتضى المعاشرة بالمعروف مع الزوجة</w:t>
      </w:r>
      <w:r>
        <w:rPr>
          <w:rFonts w:cs="Abz-2 (Badr)" w:hint="cs"/>
          <w:color w:val="000000" w:themeColor="text1"/>
          <w:sz w:val="28"/>
          <w:szCs w:val="28"/>
          <w:rtl/>
          <w:lang w:bidi="fa-IR"/>
        </w:rPr>
        <w:t>.</w:t>
      </w:r>
      <w:r>
        <w:rPr>
          <w:vertAlign w:val="superscript"/>
          <w:rtl/>
        </w:rPr>
        <w:footnoteReference w:id="4"/>
      </w:r>
    </w:p>
    <w:p w14:paraId="7E361017" w14:textId="77777777" w:rsidR="00753919" w:rsidRDefault="00753919" w:rsidP="0075391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والحقّ في هذا الأمر معهما.</w:t>
      </w:r>
    </w:p>
    <w:p w14:paraId="7B144AF2" w14:textId="77777777" w:rsidR="00753919" w:rsidRDefault="00753919" w:rsidP="0075391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نعم، لا يستلزم ذلك أن يكون للزوجة أن تحدّد كلّ يوم ما تشتهيه من الطعام ويجب على الزوج توفيره لها، بل المرجع في هذا الباب هو العرف؛ فمثلاً لا يعدّ مقبولاً عرفاً أن يقتصر الزوج على نوع واحد من الطعام ويقدّمه للزوجة في كلّ يوم، بل ينبغي له أن يراعي التنويع في الطعام ضمن الحدّ المتعارف.</w:t>
      </w:r>
      <w:bookmarkEnd w:id="0"/>
    </w:p>
    <w:p w14:paraId="2AD04477" w14:textId="7D63A4A4" w:rsidR="00B706A3" w:rsidRPr="00753919" w:rsidRDefault="00B706A3" w:rsidP="00753919">
      <w:pPr>
        <w:rPr>
          <w:rtl/>
        </w:rPr>
      </w:pPr>
    </w:p>
    <w:sectPr w:rsidR="00B706A3" w:rsidRPr="00753919"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D7E97" w14:textId="77777777" w:rsidR="001D0FE9" w:rsidRDefault="001D0FE9" w:rsidP="00F71127">
      <w:pPr>
        <w:spacing w:after="0" w:line="240" w:lineRule="auto"/>
      </w:pPr>
      <w:r>
        <w:separator/>
      </w:r>
    </w:p>
  </w:endnote>
  <w:endnote w:type="continuationSeparator" w:id="0">
    <w:p w14:paraId="294F8B87" w14:textId="77777777" w:rsidR="001D0FE9" w:rsidRDefault="001D0FE9"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83D62" w14:textId="77777777" w:rsidR="001D0FE9" w:rsidRDefault="001D0FE9" w:rsidP="00EE25C0">
      <w:pPr>
        <w:bidi/>
        <w:spacing w:after="0" w:line="240" w:lineRule="auto"/>
      </w:pPr>
      <w:r>
        <w:separator/>
      </w:r>
    </w:p>
  </w:footnote>
  <w:footnote w:type="continuationSeparator" w:id="0">
    <w:p w14:paraId="4BA13CF9" w14:textId="77777777" w:rsidR="001D0FE9" w:rsidRDefault="001D0FE9" w:rsidP="00F71127">
      <w:pPr>
        <w:bidi/>
        <w:spacing w:after="0" w:line="240" w:lineRule="auto"/>
      </w:pPr>
      <w:r>
        <w:continuationSeparator/>
      </w:r>
    </w:p>
  </w:footnote>
  <w:footnote w:id="1">
    <w:p w14:paraId="548C2B36" w14:textId="77777777" w:rsidR="00753919" w:rsidRDefault="00753919" w:rsidP="00753919">
      <w:pPr>
        <w:pStyle w:val="FootnoteText"/>
        <w:bidi/>
        <w:rPr>
          <w:rFonts w:ascii="Noor_Lotus" w:hAnsi="Noor_Lotus" w:cs="Abz-2 (Badr)" w:hint="cs"/>
          <w:rtl/>
        </w:rPr>
      </w:pPr>
      <w:r>
        <w:rPr>
          <w:rStyle w:val="FootnoteReference"/>
          <w:rFonts w:cs="Abz-2 (Badr)"/>
        </w:rPr>
        <w:footnoteRef/>
      </w:r>
      <w:r>
        <w:rPr>
          <w:rFonts w:cs="Abz-2 (Badr)" w:hint="cs"/>
          <w:rtl/>
          <w:lang w:bidi="fa-IR"/>
        </w:rPr>
        <w:t> ـ قواعد،ج3،ص105.</w:t>
      </w:r>
    </w:p>
  </w:footnote>
  <w:footnote w:id="2">
    <w:p w14:paraId="206295DA" w14:textId="77777777" w:rsidR="00753919" w:rsidRDefault="00753919" w:rsidP="00753919">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کشف اللثام،ج7،ص565.</w:t>
      </w:r>
    </w:p>
  </w:footnote>
  <w:footnote w:id="3">
    <w:p w14:paraId="011BA0DE" w14:textId="77777777" w:rsidR="00753919" w:rsidRDefault="00753919" w:rsidP="00753919">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قواعد الأحکام،ج3،ص105.</w:t>
      </w:r>
    </w:p>
  </w:footnote>
  <w:footnote w:id="4">
    <w:p w14:paraId="1BF721DE" w14:textId="77777777" w:rsidR="00753919" w:rsidRDefault="00753919" w:rsidP="00753919">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ـ کشف اللثام،ج7،ص565.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211D45C6"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53919">
                            <w:rPr>
                              <w:rFonts w:cs="B Mehr" w:hint="cs"/>
                              <w:rtl/>
                              <w:lang w:bidi="fa-IR"/>
                            </w:rPr>
                            <w:t>15</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211D45C6"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53919">
                      <w:rPr>
                        <w:rFonts w:cs="B Mehr" w:hint="cs"/>
                        <w:rtl/>
                        <w:lang w:bidi="fa-IR"/>
                      </w:rPr>
                      <w:t>15</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1F6"/>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0FE9"/>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9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07BF"/>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164715">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6180648">
      <w:bodyDiv w:val="1"/>
      <w:marLeft w:val="0"/>
      <w:marRight w:val="0"/>
      <w:marTop w:val="0"/>
      <w:marBottom w:val="0"/>
      <w:divBdr>
        <w:top w:val="none" w:sz="0" w:space="0" w:color="auto"/>
        <w:left w:val="none" w:sz="0" w:space="0" w:color="auto"/>
        <w:bottom w:val="none" w:sz="0" w:space="0" w:color="auto"/>
        <w:right w:val="none" w:sz="0" w:space="0" w:color="auto"/>
      </w:divBdr>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1</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679</cp:revision>
  <cp:lastPrinted>2025-04-14T09:12:00Z</cp:lastPrinted>
  <dcterms:created xsi:type="dcterms:W3CDTF">2022-10-16T08:36:00Z</dcterms:created>
  <dcterms:modified xsi:type="dcterms:W3CDTF">2025-12-06T13:51:00Z</dcterms:modified>
</cp:coreProperties>
</file>