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FF293" w14:textId="77777777" w:rsidR="001A11F6" w:rsidRDefault="001A11F6" w:rsidP="001A11F6">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6F99DC3" w14:textId="77777777" w:rsidR="001A11F6" w:rsidRDefault="001A11F6" w:rsidP="001A11F6">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512609B2" w14:textId="77777777" w:rsidR="001A11F6" w:rsidRDefault="001A11F6" w:rsidP="001A11F6">
      <w:pPr>
        <w:widowControl w:val="0"/>
        <w:bidi/>
        <w:spacing w:after="0"/>
        <w:jc w:val="center"/>
        <w:rPr>
          <w:rFonts w:cs="B Mitra" w:hint="cs"/>
          <w:b/>
          <w:bCs/>
          <w:sz w:val="32"/>
          <w:szCs w:val="32"/>
          <w:rtl/>
          <w:lang w:bidi="fa-IR"/>
        </w:rPr>
      </w:pPr>
      <w:r>
        <w:rPr>
          <w:rFonts w:cs="B Mitra" w:hint="cs"/>
          <w:b/>
          <w:bCs/>
          <w:sz w:val="32"/>
          <w:szCs w:val="32"/>
          <w:rtl/>
          <w:lang w:bidi="fa-IR"/>
        </w:rPr>
        <w:t>جلسه 879</w:t>
      </w:r>
    </w:p>
    <w:p w14:paraId="3B4ED2EC" w14:textId="77777777" w:rsidR="001A11F6" w:rsidRDefault="001A11F6" w:rsidP="001A11F6">
      <w:pPr>
        <w:widowControl w:val="0"/>
        <w:bidi/>
        <w:spacing w:after="0"/>
        <w:ind w:firstLine="284"/>
        <w:jc w:val="both"/>
        <w:rPr>
          <w:rFonts w:cs="Abz-2 (Badr)" w:hint="cs"/>
          <w:color w:val="000000" w:themeColor="text1"/>
          <w:sz w:val="28"/>
          <w:szCs w:val="28"/>
          <w:rtl/>
          <w:lang w:bidi="fa-IR"/>
        </w:rPr>
      </w:pPr>
      <w:bookmarkStart w:id="0" w:name="_Hlk159096966"/>
    </w:p>
    <w:p w14:paraId="59FE78BB" w14:textId="77777777" w:rsidR="001A11F6" w:rsidRDefault="001A11F6" w:rsidP="001A11F6">
      <w:pPr>
        <w:widowControl w:val="0"/>
        <w:bidi/>
        <w:spacing w:after="0"/>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در ادامه بحث به نقل بقيه اقوال در خصوص کميت و کيفيت خورشتی که به عنوان نفقه به زوجه داده می</w:t>
      </w:r>
      <w:r>
        <w:rPr>
          <w:rFonts w:cs="Abz-2 (Badr)" w:hint="cs"/>
          <w:color w:val="000000" w:themeColor="text1"/>
          <w:spacing w:val="-4"/>
          <w:sz w:val="28"/>
          <w:szCs w:val="28"/>
          <w:rtl/>
          <w:lang w:bidi="fa-IR"/>
        </w:rPr>
        <w:softHyphen/>
        <w:t>شود، می</w:t>
      </w:r>
      <w:r>
        <w:rPr>
          <w:rFonts w:cs="Abz-2 (Badr)" w:hint="cs"/>
          <w:color w:val="000000" w:themeColor="text1"/>
          <w:spacing w:val="-4"/>
          <w:sz w:val="28"/>
          <w:szCs w:val="28"/>
          <w:rtl/>
          <w:lang w:bidi="fa-IR"/>
        </w:rPr>
        <w:softHyphen/>
        <w:t>پردازيم.</w:t>
      </w:r>
    </w:p>
    <w:p w14:paraId="126A8556" w14:textId="77777777" w:rsidR="001A11F6" w:rsidRDefault="001A11F6" w:rsidP="001A11F6">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علامه از ابن جنيد اين گونه نقل می</w:t>
      </w:r>
      <w:r>
        <w:rPr>
          <w:rFonts w:cs="Abz-2 (Badr)" w:hint="cs"/>
          <w:color w:val="000000" w:themeColor="text1"/>
          <w:sz w:val="28"/>
          <w:szCs w:val="28"/>
          <w:rtl/>
          <w:lang w:bidi="fa-IR"/>
        </w:rPr>
        <w:softHyphen/>
        <w:t xml:space="preserve">کند: </w:t>
      </w:r>
      <w:r>
        <w:rPr>
          <w:rFonts w:cs="Abz-2 (Badr)" w:hint="cs"/>
          <w:color w:val="0070C0"/>
          <w:sz w:val="28"/>
          <w:szCs w:val="28"/>
          <w:rtl/>
          <w:lang w:bidi="fa-IR"/>
        </w:rPr>
        <w:t>«</w:t>
      </w:r>
      <w:r>
        <w:rPr>
          <w:rFonts w:cs="Abz-2 (Badr)" w:hint="cs"/>
          <w:color w:val="0070C0"/>
          <w:sz w:val="28"/>
          <w:szCs w:val="28"/>
          <w:rtl/>
          <w:lang w:bidi="ar"/>
        </w:rPr>
        <w:t>ابن الجنيد لم يقدّر، بل قال: وحقّ‌ المرأة على زوجها ما يسدّ جوعتها ويستر عورتها. هذا في الإقتار، والمتوسّط أن يكون يطعمها اللحم في كلّ‌ ثلاثة أيّام.»</w:t>
      </w:r>
      <w:r>
        <w:rPr>
          <w:rFonts w:cs="Abz-2 (Badr)"/>
          <w:color w:val="000000" w:themeColor="text1"/>
          <w:sz w:val="28"/>
          <w:szCs w:val="28"/>
          <w:vertAlign w:val="superscript"/>
          <w:rtl/>
          <w:lang w:bidi="fa-IR"/>
        </w:rPr>
        <w:footnoteReference w:id="1"/>
      </w:r>
    </w:p>
    <w:p w14:paraId="1B8A0132"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خود علامه در قواعد فرموده است: «</w:t>
      </w:r>
      <w:r>
        <w:rPr>
          <w:rFonts w:cs="Abz-2 (Badr)" w:hint="cs"/>
          <w:color w:val="0070C0"/>
          <w:sz w:val="28"/>
          <w:szCs w:val="28"/>
          <w:rtl/>
          <w:lang w:bidi="ar"/>
        </w:rPr>
        <w:t>الثاني: الأدم. ويجب فيه غالب أدم البلد جنساً وقدراً... وعليه في الأُسبوع اللحم. ولو كانت عادتها دوام اللحم وجب.»</w:t>
      </w:r>
      <w:r>
        <w:rPr>
          <w:rFonts w:cs="Abz-2 (Badr)"/>
          <w:color w:val="000000" w:themeColor="text1"/>
          <w:sz w:val="28"/>
          <w:szCs w:val="28"/>
          <w:vertAlign w:val="superscript"/>
          <w:rtl/>
          <w:lang w:bidi="fa-IR"/>
        </w:rPr>
        <w:footnoteReference w:id="2"/>
      </w:r>
    </w:p>
    <w:p w14:paraId="185CA38C"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pacing w:val="-4"/>
          <w:sz w:val="28"/>
          <w:szCs w:val="28"/>
          <w:rtl/>
          <w:lang w:bidi="fa-IR"/>
        </w:rPr>
        <w:t>کاشف اللثام در توضيح ذيل کلام علامه فرموده است: «</w:t>
      </w:r>
      <w:r>
        <w:rPr>
          <w:rFonts w:cs="Abz-2 (Badr)" w:hint="cs"/>
          <w:color w:val="0070C0"/>
          <w:spacing w:val="-4"/>
          <w:sz w:val="28"/>
          <w:szCs w:val="28"/>
          <w:rtl/>
          <w:lang w:bidi="ar"/>
        </w:rPr>
        <w:t>ولو كان عادتها ـ أي عادة أمثالها ـ دوام أكل اللحم، وجب مع القدرة، للدخول في ظاهر الرزق والمعروف حينئذٍ. وكذا لو اعتادته هي مع التضرّر بتركه، وإن لم يكن الضرر إلا بمخالفة العادة.»</w:t>
      </w:r>
      <w:r>
        <w:rPr>
          <w:rFonts w:cs="Abz-2 (Badr)"/>
          <w:color w:val="000000" w:themeColor="text1"/>
          <w:sz w:val="28"/>
          <w:szCs w:val="28"/>
          <w:vertAlign w:val="superscript"/>
          <w:rtl/>
          <w:lang w:bidi="fa-IR"/>
        </w:rPr>
        <w:footnoteReference w:id="3"/>
      </w:r>
    </w:p>
    <w:p w14:paraId="34FAF72B"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ظاهر از کلام علامه و کاشف اللثام اين است که عادت امثال زوجه را در اين جا ملاک قرار داده</w:t>
      </w:r>
      <w:r>
        <w:rPr>
          <w:rFonts w:cs="Abz-2 (Badr)" w:hint="cs"/>
          <w:color w:val="000000" w:themeColor="text1"/>
          <w:sz w:val="28"/>
          <w:szCs w:val="28"/>
          <w:rtl/>
          <w:lang w:bidi="fa-IR"/>
        </w:rPr>
        <w:softHyphen/>
        <w:t>اند. بنابر اين شايد مراد ايشان از قوت غالب اهل بلد نيز همين مطلب باشد.</w:t>
      </w:r>
    </w:p>
    <w:p w14:paraId="1AE90723" w14:textId="77777777" w:rsidR="001A11F6" w:rsidRDefault="001A11F6" w:rsidP="001A11F6">
      <w:pPr>
        <w:widowControl w:val="0"/>
        <w:bidi/>
        <w:spacing w:after="0"/>
        <w:ind w:firstLine="284"/>
        <w:jc w:val="both"/>
        <w:rPr>
          <w:rFonts w:cs="Abz-2 (Badr)" w:hint="cs"/>
          <w:color w:val="000000" w:themeColor="text1"/>
          <w:sz w:val="28"/>
          <w:szCs w:val="28"/>
          <w:rtl/>
          <w:lang w:bidi="fa-IR"/>
        </w:rPr>
      </w:pPr>
      <w:bookmarkStart w:id="1" w:name="_Hlk215695314"/>
      <w:r>
        <w:rPr>
          <w:rFonts w:cs="Abz-2 (Badr)" w:hint="cs"/>
          <w:color w:val="000000" w:themeColor="text1"/>
          <w:sz w:val="28"/>
          <w:szCs w:val="28"/>
          <w:rtl/>
          <w:lang w:bidi="fa-IR"/>
        </w:rPr>
        <w:t>البته کاشف اللثام عادت شخصی زوجه را نيز در نفقه وی مؤثر می</w:t>
      </w:r>
      <w:r>
        <w:rPr>
          <w:rFonts w:cs="Abz-2 (Badr)" w:hint="cs"/>
          <w:color w:val="000000" w:themeColor="text1"/>
          <w:sz w:val="28"/>
          <w:szCs w:val="28"/>
          <w:rtl/>
          <w:lang w:bidi="fa-IR"/>
        </w:rPr>
        <w:softHyphen/>
        <w:t>داند منوط بر اين که در ترک آن ضرری متوجه زوجه شود. ظاهر اين مطلب اين است که حکم مذکور مبتنی بر قاعده لا ضرر است، در حالی که قاعده لا ضرر سبب توجه تکليف به کسی نمی</w:t>
      </w:r>
      <w:r>
        <w:rPr>
          <w:rFonts w:cs="Abz-2 (Badr)" w:hint="cs"/>
          <w:color w:val="000000" w:themeColor="text1"/>
          <w:sz w:val="28"/>
          <w:szCs w:val="28"/>
          <w:rtl/>
          <w:lang w:bidi="fa-IR"/>
        </w:rPr>
        <w:softHyphen/>
        <w:t>شود.</w:t>
      </w:r>
    </w:p>
    <w:bookmarkEnd w:id="1"/>
    <w:p w14:paraId="78C38D5F"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صاحب جواهر نيز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الأولى منه الرجوع فيه إلى العرف في أمثال الامرأة.</w:t>
      </w:r>
    </w:p>
    <w:p w14:paraId="0113768B"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lastRenderedPageBreak/>
        <w:t>ويمكن إرادة الجميع ذلك، فلا يكون خلافاً، كما أنّك قد عرفت المراد في صحيح الشهاب السابق.</w:t>
      </w:r>
    </w:p>
    <w:p w14:paraId="62B75DE1"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بل هو المرجع في جنسه أيضاً وكونه من الضأن وغيره، وفي قدره...</w:t>
      </w:r>
    </w:p>
    <w:p w14:paraId="2F996119"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وحينئذٍ لو كان عادة أمثالها دوام أكل اللحم وجب، لأنّه هو المعاشرة بالمعروف في رزقهنّ... وإن کان لا يخلو من نظر.</w:t>
      </w:r>
    </w:p>
    <w:p w14:paraId="2A2ED1A7"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lang w:bidi="ar"/>
        </w:rPr>
        <w:t>كما أنّه لا يخلو وجوب التنباك والترياق والقهوة لها ـ إذا كان عادة لأمثالها أو لها خاصّة، ولو مع التضرّر بتركه ـ من نظر أيضاً.»</w:t>
      </w:r>
      <w:r>
        <w:rPr>
          <w:rFonts w:cs="Abz-2 (Badr)"/>
          <w:color w:val="000000" w:themeColor="text1"/>
          <w:sz w:val="28"/>
          <w:szCs w:val="28"/>
          <w:vertAlign w:val="superscript"/>
          <w:rtl/>
          <w:lang w:bidi="fa-IR"/>
        </w:rPr>
        <w:footnoteReference w:id="4"/>
      </w:r>
    </w:p>
    <w:p w14:paraId="612DB7C7"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حق اين است که در اين مورد نيز آنچه که ملاک است، اين است که نکاح سبب نشود که معيشت زوجه تنزّل پيدا کند، همان گونه که اگر شأن زوجه به سبب نکاح با زوجی که دارای تمکّن است ترقّی پيدا کرد، بايد اين مطلب نيز در مقدار و نوع نفقه لحاظ گردد.</w:t>
      </w:r>
    </w:p>
    <w:p w14:paraId="31F02B67"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اشکالی در اين نيست که عادت امثال زن برای تعيين مقدار و کمّيّت خورشت يا هر چيزی که مورد استفاده زوجه واقع می</w:t>
      </w:r>
      <w:r>
        <w:rPr>
          <w:rFonts w:cs="Abz-2 (Badr)" w:hint="cs"/>
          <w:color w:val="000000" w:themeColor="text1"/>
          <w:sz w:val="28"/>
          <w:szCs w:val="28"/>
          <w:rtl/>
          <w:lang w:bidi="fa-IR"/>
        </w:rPr>
        <w:softHyphen/>
        <w:t>شود، بايد مراعات گردد.</w:t>
      </w:r>
    </w:p>
    <w:p w14:paraId="65BDEDA6"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چنانچه عادت امثال زوجه اين باشد که از خورشت يا وسيله</w:t>
      </w:r>
      <w:r>
        <w:rPr>
          <w:rFonts w:cs="Abz-2 (Badr)" w:hint="cs"/>
          <w:color w:val="000000" w:themeColor="text1"/>
          <w:sz w:val="28"/>
          <w:szCs w:val="28"/>
          <w:rtl/>
          <w:lang w:bidi="fa-IR"/>
        </w:rPr>
        <w:softHyphen/>
        <w:t>ای خاص استفاده کنند يا مقدار خاصی از آن را استفاده نمايند ولی زوجه قبل از ازدواج، از آن استفاده نمی</w:t>
      </w:r>
      <w:r>
        <w:rPr>
          <w:rFonts w:cs="Abz-2 (Badr)" w:hint="cs"/>
          <w:color w:val="000000" w:themeColor="text1"/>
          <w:sz w:val="28"/>
          <w:szCs w:val="28"/>
          <w:rtl/>
          <w:lang w:bidi="fa-IR"/>
        </w:rPr>
        <w:softHyphen/>
        <w:t>کرده يا اين که کمتر از آن را استفاده می</w:t>
      </w:r>
      <w:r>
        <w:rPr>
          <w:rFonts w:cs="Abz-2 (Badr)" w:hint="cs"/>
          <w:color w:val="000000" w:themeColor="text1"/>
          <w:sz w:val="28"/>
          <w:szCs w:val="28"/>
          <w:rtl/>
          <w:lang w:bidi="fa-IR"/>
        </w:rPr>
        <w:softHyphen/>
        <w:t>کرده است و يا اين که از چيزی استفاده می</w:t>
      </w:r>
      <w:r>
        <w:rPr>
          <w:rFonts w:cs="Abz-2 (Badr)" w:hint="cs"/>
          <w:color w:val="000000" w:themeColor="text1"/>
          <w:sz w:val="28"/>
          <w:szCs w:val="28"/>
          <w:rtl/>
          <w:lang w:bidi="fa-IR"/>
        </w:rPr>
        <w:softHyphen/>
        <w:t>کرده که امثال وی از آن استفاده نمی</w:t>
      </w:r>
      <w:r>
        <w:rPr>
          <w:rFonts w:cs="Abz-2 (Badr)" w:hint="cs"/>
          <w:color w:val="000000" w:themeColor="text1"/>
          <w:sz w:val="28"/>
          <w:szCs w:val="28"/>
          <w:rtl/>
          <w:lang w:bidi="fa-IR"/>
        </w:rPr>
        <w:softHyphen/>
        <w:t>کنند و يا بيش از آنچه که امثال وی از وسيله يا خورشتی استفاده می</w:t>
      </w:r>
      <w:r>
        <w:rPr>
          <w:rFonts w:cs="Abz-2 (Badr)" w:hint="cs"/>
          <w:color w:val="000000" w:themeColor="text1"/>
          <w:sz w:val="28"/>
          <w:szCs w:val="28"/>
          <w:rtl/>
          <w:lang w:bidi="fa-IR"/>
        </w:rPr>
        <w:softHyphen/>
        <w:t>کنند، از آن استفاده می</w:t>
      </w:r>
      <w:r>
        <w:rPr>
          <w:rFonts w:cs="Abz-2 (Badr)" w:hint="cs"/>
          <w:color w:val="000000" w:themeColor="text1"/>
          <w:sz w:val="28"/>
          <w:szCs w:val="28"/>
          <w:rtl/>
          <w:lang w:bidi="fa-IR"/>
        </w:rPr>
        <w:softHyphen/>
        <w:t>کرده است، آيا ملاک در نفقه زوجه بر عادت امثال وی خواهد بود يا بر عادت خود وی قبل از ازدواج؟</w:t>
      </w:r>
    </w:p>
    <w:p w14:paraId="4252F456"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اين مسأله را جلسه آينده مورد بررسی قرار خواهيم داد ان شاء الله.</w:t>
      </w:r>
    </w:p>
    <w:p w14:paraId="03746AD3" w14:textId="77777777" w:rsidR="001A11F6" w:rsidRDefault="001A11F6" w:rsidP="001A11F6">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2432E37E" w14:textId="77777777" w:rsidR="001A11F6" w:rsidRDefault="001A11F6" w:rsidP="001A11F6">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في متابعة البحث، ننتقل إلى نقل بقيّة الأقوال بشأن كمّية وكيفيّة الإدام الذي يعطى للزوجة بعنوان النفقة.</w:t>
      </w:r>
    </w:p>
    <w:p w14:paraId="4F4E0D26" w14:textId="77777777" w:rsidR="001A11F6" w:rsidRDefault="001A11F6" w:rsidP="001A11F6">
      <w:pPr>
        <w:widowControl w:val="0"/>
        <w:bidi/>
        <w:spacing w:after="0"/>
        <w:ind w:firstLine="284"/>
        <w:jc w:val="both"/>
        <w:rPr>
          <w:rFonts w:cs="Abz-2 (Badr)" w:hint="cs"/>
          <w:color w:val="0070C0"/>
          <w:sz w:val="28"/>
          <w:szCs w:val="28"/>
          <w:rtl/>
          <w:lang w:bidi="fa-IR"/>
        </w:rPr>
      </w:pPr>
      <w:bookmarkStart w:id="2" w:name="_Hlk215695149"/>
      <w:r>
        <w:rPr>
          <w:rFonts w:cs="Abz-2 (Badr)" w:hint="cs"/>
          <w:color w:val="000000" w:themeColor="text1"/>
          <w:sz w:val="28"/>
          <w:szCs w:val="28"/>
          <w:rtl/>
        </w:rPr>
        <w:t xml:space="preserve">يذكر العلامة ناقلاً عن ابن الجنيد ما نصّه: </w:t>
      </w:r>
      <w:r>
        <w:rPr>
          <w:rFonts w:cs="Abz-2 (Badr)" w:hint="cs"/>
          <w:color w:val="0070C0"/>
          <w:sz w:val="28"/>
          <w:szCs w:val="28"/>
          <w:rtl/>
          <w:lang w:bidi="fa-IR"/>
        </w:rPr>
        <w:t>«</w:t>
      </w:r>
      <w:r>
        <w:rPr>
          <w:rFonts w:cs="Abz-2 (Badr)" w:hint="cs"/>
          <w:color w:val="0070C0"/>
          <w:sz w:val="28"/>
          <w:szCs w:val="28"/>
          <w:rtl/>
          <w:lang w:bidi="ar"/>
        </w:rPr>
        <w:t>ابن الجنيد لم يقدّر، بل قال: وحقّ‌ المرأة على زوجها ما يسدّ جوعتها ويستر عورتها. هذا في الإقتار، والمتوسّط أن يكون يطعمها اللحم في كلّ‌ ثلاثة أيّام.»</w:t>
      </w:r>
      <w:r>
        <w:rPr>
          <w:rFonts w:cs="Abz-2 (Badr)"/>
          <w:color w:val="000000" w:themeColor="text1"/>
          <w:sz w:val="28"/>
          <w:szCs w:val="28"/>
          <w:vertAlign w:val="superscript"/>
          <w:rtl/>
          <w:lang w:bidi="fa-IR"/>
        </w:rPr>
        <w:footnoteReference w:id="5"/>
      </w:r>
    </w:p>
    <w:p w14:paraId="005B4360"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غير أنّه هو نفسه قال في القواعد</w:t>
      </w:r>
      <w:r>
        <w:rPr>
          <w:rFonts w:cs="Abz-2 (Badr)" w:hint="cs"/>
          <w:color w:val="000000" w:themeColor="text1"/>
          <w:sz w:val="28"/>
          <w:szCs w:val="28"/>
          <w:rtl/>
          <w:lang w:bidi="fa-IR"/>
        </w:rPr>
        <w:t xml:space="preserve">: </w:t>
      </w:r>
      <w:r>
        <w:rPr>
          <w:rFonts w:cs="Abz-2 (Badr)" w:hint="cs"/>
          <w:color w:val="0070C0"/>
          <w:sz w:val="28"/>
          <w:szCs w:val="28"/>
          <w:rtl/>
          <w:lang w:bidi="ar"/>
        </w:rPr>
        <w:t>«الثاني: الأدم. ويجب فيه غالب أدم البلد جنساً وقدراً... وعليه في الأُسبوع اللحم. ولو كانت عادتها دوام اللحم وجب.»</w:t>
      </w:r>
      <w:r>
        <w:rPr>
          <w:rFonts w:cs="Abz-2 (Badr)"/>
          <w:color w:val="000000" w:themeColor="text1"/>
          <w:sz w:val="28"/>
          <w:szCs w:val="28"/>
          <w:vertAlign w:val="superscript"/>
          <w:rtl/>
          <w:lang w:bidi="fa-IR"/>
        </w:rPr>
        <w:footnoteReference w:id="6"/>
      </w:r>
    </w:p>
    <w:p w14:paraId="483461D0"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pacing w:val="-4"/>
          <w:sz w:val="28"/>
          <w:szCs w:val="28"/>
          <w:rtl/>
        </w:rPr>
        <w:t xml:space="preserve">وقال كاشف اللثام في شرح ما جاء ذيل كلام العلامة: </w:t>
      </w:r>
      <w:r>
        <w:rPr>
          <w:rFonts w:cs="Abz-2 (Badr)" w:hint="cs"/>
          <w:color w:val="0070C0"/>
          <w:spacing w:val="-4"/>
          <w:sz w:val="28"/>
          <w:szCs w:val="28"/>
          <w:rtl/>
          <w:lang w:bidi="fa-IR"/>
        </w:rPr>
        <w:t>«</w:t>
      </w:r>
      <w:r>
        <w:rPr>
          <w:rFonts w:cs="Abz-2 (Badr)" w:hint="cs"/>
          <w:color w:val="0070C0"/>
          <w:spacing w:val="-4"/>
          <w:sz w:val="28"/>
          <w:szCs w:val="28"/>
          <w:rtl/>
          <w:lang w:bidi="ar"/>
        </w:rPr>
        <w:t>ولو كان عادتها ـ أي عادة أمثالها ـ دوام أكل اللحم، وجب مع القدرة، للدخول في ظاهر الرزق والمعروف حينئذٍ. وكذا لو اعتادته هي مع التضرّر بتركه، وإن لم يكن الضرر إلا بمخالفة العادة.»</w:t>
      </w:r>
      <w:r>
        <w:rPr>
          <w:rFonts w:cs="Abz-2 (Badr)"/>
          <w:color w:val="000000" w:themeColor="text1"/>
          <w:sz w:val="28"/>
          <w:szCs w:val="28"/>
          <w:vertAlign w:val="superscript"/>
          <w:rtl/>
          <w:lang w:bidi="fa-IR"/>
        </w:rPr>
        <w:footnoteReference w:id="7"/>
      </w:r>
    </w:p>
    <w:p w14:paraId="1C993B4A"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فيظهر من كلام العلامة وكاشف اللثام أنّهما جعلا عادة أمثال الزوجة هي المعيار في هذا المورد. وبناءً على ذلك فربّما يكون مرادهما من قوت غالب أهل البلد هو هذا المعنى نفسه</w:t>
      </w:r>
      <w:r>
        <w:rPr>
          <w:rFonts w:cs="Abz-2 (Badr)" w:hint="cs"/>
          <w:color w:val="000000" w:themeColor="text1"/>
          <w:sz w:val="28"/>
          <w:szCs w:val="28"/>
          <w:rtl/>
          <w:lang w:bidi="fa-IR"/>
        </w:rPr>
        <w:t>.</w:t>
      </w:r>
    </w:p>
    <w:p w14:paraId="3D8435C3" w14:textId="77777777" w:rsidR="001A11F6" w:rsidRDefault="001A11F6" w:rsidP="001A11F6">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علی أنّ الفاضل الإصفهاني يرى أنّ العادة الشخصيّة للزوجة أيضاً مؤثّرة في تحديد نفقتها، بشرط أن يترتّب على ترك تلك العادة ضرر يلحق بها. وظاهر هذا الكلام أنّ الحكم المذكور مبنيّ على قاعدة لا ضرر، في حين أنّ هذه القاعدة لا تقتضي توجّه التكليف إلى أحد.</w:t>
      </w:r>
    </w:p>
    <w:p w14:paraId="140F564E"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وقال صاحب الجواهر في هذا المجال: </w:t>
      </w:r>
      <w:r>
        <w:rPr>
          <w:rFonts w:cs="Abz-2 (Badr)" w:hint="cs"/>
          <w:color w:val="0070C0"/>
          <w:sz w:val="28"/>
          <w:szCs w:val="28"/>
          <w:rtl/>
          <w:lang w:bidi="fa-IR"/>
        </w:rPr>
        <w:t>«</w:t>
      </w:r>
      <w:r>
        <w:rPr>
          <w:rFonts w:cs="Abz-2 (Badr)" w:hint="cs"/>
          <w:color w:val="0070C0"/>
          <w:sz w:val="28"/>
          <w:szCs w:val="28"/>
          <w:rtl/>
          <w:lang w:bidi="ar"/>
        </w:rPr>
        <w:t>الأولى منه الرجوع فيه إلى العرف في أمثال الامرأة.</w:t>
      </w:r>
    </w:p>
    <w:p w14:paraId="2B6EA75C"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ويمكن إرادة الجميع ذلك، فلا يكون خلافاً، كما أنّك قد عرفت المراد في صحيح الشهاب السابق.</w:t>
      </w:r>
    </w:p>
    <w:p w14:paraId="4F1730AA"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بل هو المرجع في جنسه أيضاً وكونه من الضأن وغيره، وفي قدره...</w:t>
      </w:r>
    </w:p>
    <w:p w14:paraId="47B2C518" w14:textId="77777777" w:rsidR="001A11F6" w:rsidRDefault="001A11F6" w:rsidP="001A11F6">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وحينئذٍ لو كان عادة أمثالها دوام أكل اللحم وجب، لأنّه هو المعاشرة بالمعروف في رزقهنّ... وإن کان لا يخلو من نظر.</w:t>
      </w:r>
    </w:p>
    <w:p w14:paraId="304013AB"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70C0"/>
          <w:sz w:val="28"/>
          <w:szCs w:val="28"/>
          <w:rtl/>
          <w:lang w:bidi="ar"/>
        </w:rPr>
        <w:t xml:space="preserve">كما أنّه لا يخلو وجوب التنباك والترياق والقهوة لها ـ إذا كان عادة لأمثالها أو لها خاصّة، ولو مع التضرّر بتركه ـ من </w:t>
      </w:r>
      <w:r>
        <w:rPr>
          <w:rFonts w:cs="Abz-2 (Badr)" w:hint="cs"/>
          <w:color w:val="0070C0"/>
          <w:sz w:val="28"/>
          <w:szCs w:val="28"/>
          <w:rtl/>
          <w:lang w:bidi="ar"/>
        </w:rPr>
        <w:lastRenderedPageBreak/>
        <w:t>نظر أيضاً.»</w:t>
      </w:r>
      <w:r>
        <w:rPr>
          <w:rFonts w:cs="Abz-2 (Badr)"/>
          <w:color w:val="000000" w:themeColor="text1"/>
          <w:sz w:val="28"/>
          <w:szCs w:val="28"/>
          <w:vertAlign w:val="superscript"/>
          <w:rtl/>
          <w:lang w:bidi="fa-IR"/>
        </w:rPr>
        <w:footnoteReference w:id="8"/>
      </w:r>
    </w:p>
    <w:p w14:paraId="253F5AD1"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b/>
          <w:bCs/>
          <w:color w:val="000000" w:themeColor="text1"/>
          <w:sz w:val="28"/>
          <w:szCs w:val="28"/>
          <w:rtl/>
          <w:lang w:bidi="fa-IR"/>
        </w:rPr>
        <w:t xml:space="preserve">أقول: </w:t>
      </w:r>
      <w:r>
        <w:rPr>
          <w:rFonts w:cs="Abz-2 (Badr)" w:hint="cs"/>
          <w:color w:val="000000" w:themeColor="text1"/>
          <w:sz w:val="28"/>
          <w:szCs w:val="28"/>
          <w:rtl/>
        </w:rPr>
        <w:t>الحقّ أنّ المعيار في هذا المورد أيضاً هو أنّ لا يكون النكاح سبباً لتنزّل معيشة الزوجة، كما أنّه إذا ارتقى شأن الزوجة بسبب زواجها بزوج متمكّن، وجب لحاظ هذا الارتقاء أيضاً في مقدار النفقة ونوعها.</w:t>
      </w:r>
    </w:p>
    <w:p w14:paraId="0A8BD9A6" w14:textId="77777777" w:rsidR="001A11F6" w:rsidRDefault="001A11F6" w:rsidP="001A11F6">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وعليه فلا إشكال في أنّ عادة أمثال الزوجة ينبغي مراعاتها في تعيين مقدار الإدام أو أيّ شيء آخر يكون مورد انتفاعها.</w:t>
      </w:r>
    </w:p>
    <w:p w14:paraId="322960FD" w14:textId="77777777" w:rsidR="001A11F6" w:rsidRDefault="001A11F6" w:rsidP="001A11F6">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rPr>
        <w:t>ثمّ إنّه إذا كانت عادة أمثال الزوجة أن يستعملن إداماً معيّناً أو وسيلة خاصّة أو يستخدمن مقداراً معيّناً منها، بينما الزوجة نفسها قبل الزواج لم تكن تستعمله أو كانت تستعمل منه أقلّ من أمثالها، أو كانت تستعمل شيئاً لا تستعمله أمثالها، أو كانت تستعمل أكثر ممّا تستعمله أمثالها من ذلك الإدام أو تلك الوسيلة، فهل يكون المعيار في نفقة الزوجة هو عادة أمثالها أم عادتها الشخصيّة قبل الزواج؟</w:t>
      </w:r>
    </w:p>
    <w:bookmarkEnd w:id="2"/>
    <w:p w14:paraId="787A9FC6" w14:textId="77777777" w:rsidR="001A11F6" w:rsidRDefault="001A11F6" w:rsidP="001A11F6">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وسنبحث هذه المسألة في الجلسة القادمة إن شاء الله</w:t>
      </w:r>
      <w:r>
        <w:rPr>
          <w:rFonts w:cs="Abz-2 (Badr)" w:hint="cs"/>
          <w:color w:val="000000" w:themeColor="text1"/>
          <w:sz w:val="28"/>
          <w:szCs w:val="28"/>
          <w:rtl/>
          <w:lang w:bidi="fa-IR"/>
        </w:rPr>
        <w:t>.</w:t>
      </w:r>
    </w:p>
    <w:bookmarkEnd w:id="0"/>
    <w:p w14:paraId="13507547" w14:textId="77777777" w:rsidR="001A11F6" w:rsidRDefault="001A11F6" w:rsidP="001A11F6">
      <w:pPr>
        <w:widowControl w:val="0"/>
        <w:bidi/>
        <w:spacing w:after="0"/>
        <w:ind w:firstLine="284"/>
        <w:jc w:val="both"/>
        <w:rPr>
          <w:rFonts w:cs="Abz-2 (Badr)"/>
          <w:color w:val="000000" w:themeColor="text1"/>
          <w:sz w:val="28"/>
          <w:szCs w:val="28"/>
          <w:lang w:bidi="fa-IR"/>
        </w:rPr>
      </w:pPr>
    </w:p>
    <w:p w14:paraId="2AD04477" w14:textId="7D63A4A4" w:rsidR="00B706A3" w:rsidRPr="001A11F6" w:rsidRDefault="00B706A3" w:rsidP="001A11F6">
      <w:pPr>
        <w:rPr>
          <w:rtl/>
        </w:rPr>
      </w:pPr>
    </w:p>
    <w:sectPr w:rsidR="00B706A3" w:rsidRPr="001A11F6"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FD7D7" w14:textId="77777777" w:rsidR="007907BF" w:rsidRDefault="007907BF" w:rsidP="00F71127">
      <w:pPr>
        <w:spacing w:after="0" w:line="240" w:lineRule="auto"/>
      </w:pPr>
      <w:r>
        <w:separator/>
      </w:r>
    </w:p>
  </w:endnote>
  <w:endnote w:type="continuationSeparator" w:id="0">
    <w:p w14:paraId="138033CA" w14:textId="77777777" w:rsidR="007907BF" w:rsidRDefault="007907B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82E4" w14:textId="77777777" w:rsidR="001A11F6" w:rsidRDefault="001A1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6857" w14:textId="77777777" w:rsidR="001A11F6" w:rsidRDefault="001A1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ABA88" w14:textId="77777777" w:rsidR="007907BF" w:rsidRDefault="007907BF" w:rsidP="00EE25C0">
      <w:pPr>
        <w:bidi/>
        <w:spacing w:after="0" w:line="240" w:lineRule="auto"/>
      </w:pPr>
      <w:r>
        <w:separator/>
      </w:r>
    </w:p>
  </w:footnote>
  <w:footnote w:type="continuationSeparator" w:id="0">
    <w:p w14:paraId="5952647B" w14:textId="77777777" w:rsidR="007907BF" w:rsidRDefault="007907BF" w:rsidP="00F71127">
      <w:pPr>
        <w:bidi/>
        <w:spacing w:after="0" w:line="240" w:lineRule="auto"/>
      </w:pPr>
      <w:r>
        <w:continuationSeparator/>
      </w:r>
    </w:p>
  </w:footnote>
  <w:footnote w:id="1">
    <w:p w14:paraId="10AFF27F"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مختلف،ج7،ص319.</w:t>
      </w:r>
    </w:p>
  </w:footnote>
  <w:footnote w:id="2">
    <w:p w14:paraId="48F6B379"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قواعد،ج3،ص104.</w:t>
      </w:r>
    </w:p>
  </w:footnote>
  <w:footnote w:id="3">
    <w:p w14:paraId="3B5011C8"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کشف اللثام،ج7،ص565.</w:t>
      </w:r>
    </w:p>
  </w:footnote>
  <w:footnote w:id="4">
    <w:p w14:paraId="09C703EB"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جواهر الکلام،ج31،ص333 و 334.</w:t>
      </w:r>
    </w:p>
  </w:footnote>
  <w:footnote w:id="5">
    <w:p w14:paraId="32EE152E"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مختلف الشيعة،ج7،ص319.</w:t>
      </w:r>
    </w:p>
  </w:footnote>
  <w:footnote w:id="6">
    <w:p w14:paraId="72AF5223"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قواعد الأحکام،ج3،ص104.</w:t>
      </w:r>
    </w:p>
  </w:footnote>
  <w:footnote w:id="7">
    <w:p w14:paraId="4AEEED0B"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کشف اللثام،ج7،ص565.</w:t>
      </w:r>
    </w:p>
  </w:footnote>
  <w:footnote w:id="8">
    <w:p w14:paraId="4B08A13A" w14:textId="77777777" w:rsidR="001A11F6" w:rsidRDefault="001A11F6" w:rsidP="001A11F6">
      <w:pPr>
        <w:pStyle w:val="FootnoteText"/>
        <w:bidi/>
        <w:rPr>
          <w:rFonts w:ascii="Noor_Lotus" w:hAnsi="Noor_Lotus" w:cs="Abz-2 (Badr)" w:hint="cs"/>
          <w:rtl/>
        </w:rPr>
      </w:pPr>
      <w:r>
        <w:rPr>
          <w:rStyle w:val="FootnoteReference"/>
          <w:rFonts w:cs="Abz-2 (Badr)"/>
        </w:rPr>
        <w:footnoteRef/>
      </w:r>
      <w:r>
        <w:rPr>
          <w:rFonts w:cs="Abz-2 (Badr)" w:hint="cs"/>
          <w:rtl/>
          <w:lang w:bidi="fa-IR"/>
        </w:rPr>
        <w:t> ـ جواهر الکلام،ج31،ص333 و 334.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FC226" w14:textId="77777777" w:rsidR="001A11F6" w:rsidRDefault="001A1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7ACFBDE3"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1A11F6">
                            <w:rPr>
                              <w:rFonts w:cs="B Mehr" w:hint="cs"/>
                              <w:rtl/>
                              <w:lang w:bidi="fa-IR"/>
                            </w:rPr>
                            <w:t>چهار</w:t>
                          </w:r>
                          <w:r w:rsidR="007C78DA">
                            <w:rPr>
                              <w:rFonts w:cs="B Mehr" w:hint="cs"/>
                              <w:rtl/>
                              <w:lang w:bidi="fa-IR"/>
                            </w:rPr>
                            <w:t xml:space="preserve">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1A11F6">
                            <w:rPr>
                              <w:rFonts w:cs="B Mehr" w:hint="cs"/>
                              <w:rtl/>
                              <w:lang w:bidi="fa-IR"/>
                            </w:rPr>
                            <w:t>12</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7ACFBDE3"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1A11F6">
                      <w:rPr>
                        <w:rFonts w:cs="B Mehr" w:hint="cs"/>
                        <w:rtl/>
                        <w:lang w:bidi="fa-IR"/>
                      </w:rPr>
                      <w:t>چهار</w:t>
                    </w:r>
                    <w:r w:rsidR="007C78DA">
                      <w:rPr>
                        <w:rFonts w:cs="B Mehr" w:hint="cs"/>
                        <w:rtl/>
                        <w:lang w:bidi="fa-IR"/>
                      </w:rPr>
                      <w:t xml:space="preserve"> </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1A11F6">
                      <w:rPr>
                        <w:rFonts w:cs="B Mehr" w:hint="cs"/>
                        <w:rtl/>
                        <w:lang w:bidi="fa-IR"/>
                      </w:rPr>
                      <w:t>12</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83E1" w14:textId="77777777" w:rsidR="001A11F6" w:rsidRDefault="001A11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1F6"/>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07BF"/>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6180648">
      <w:bodyDiv w:val="1"/>
      <w:marLeft w:val="0"/>
      <w:marRight w:val="0"/>
      <w:marTop w:val="0"/>
      <w:marBottom w:val="0"/>
      <w:divBdr>
        <w:top w:val="none" w:sz="0" w:space="0" w:color="auto"/>
        <w:left w:val="none" w:sz="0" w:space="0" w:color="auto"/>
        <w:bottom w:val="none" w:sz="0" w:space="0" w:color="auto"/>
        <w:right w:val="none" w:sz="0" w:space="0" w:color="auto"/>
      </w:divBdr>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4</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677</cp:revision>
  <cp:lastPrinted>2025-04-14T09:12:00Z</cp:lastPrinted>
  <dcterms:created xsi:type="dcterms:W3CDTF">2022-10-16T08:36:00Z</dcterms:created>
  <dcterms:modified xsi:type="dcterms:W3CDTF">2025-12-06T06:38:00Z</dcterms:modified>
</cp:coreProperties>
</file>