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3DDA6" w14:textId="77777777" w:rsidR="000663C0" w:rsidRDefault="000663C0" w:rsidP="000663C0">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6BB387F" w14:textId="77777777" w:rsidR="000663C0" w:rsidRDefault="000663C0" w:rsidP="000663C0">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5773181B" w14:textId="77777777" w:rsidR="000663C0" w:rsidRDefault="000663C0" w:rsidP="000663C0">
      <w:pPr>
        <w:widowControl w:val="0"/>
        <w:bidi/>
        <w:spacing w:after="0"/>
        <w:jc w:val="center"/>
        <w:rPr>
          <w:rFonts w:cs="B Mitra" w:hint="cs"/>
          <w:b/>
          <w:bCs/>
          <w:sz w:val="32"/>
          <w:szCs w:val="32"/>
          <w:rtl/>
          <w:lang w:bidi="fa-IR"/>
        </w:rPr>
      </w:pPr>
      <w:r>
        <w:rPr>
          <w:rFonts w:cs="B Mitra" w:hint="cs"/>
          <w:b/>
          <w:bCs/>
          <w:sz w:val="32"/>
          <w:szCs w:val="32"/>
          <w:rtl/>
          <w:lang w:bidi="fa-IR"/>
        </w:rPr>
        <w:t>جلسه 877</w:t>
      </w:r>
    </w:p>
    <w:p w14:paraId="7570B7F2" w14:textId="77777777" w:rsidR="000663C0" w:rsidRDefault="000663C0" w:rsidP="000663C0">
      <w:pPr>
        <w:widowControl w:val="0"/>
        <w:bidi/>
        <w:spacing w:after="0"/>
        <w:ind w:firstLine="284"/>
        <w:jc w:val="both"/>
        <w:rPr>
          <w:rFonts w:cs="Abz-2 (Badr)" w:hint="cs"/>
          <w:color w:val="000000" w:themeColor="text1"/>
          <w:sz w:val="28"/>
          <w:szCs w:val="28"/>
          <w:rtl/>
          <w:lang w:bidi="fa-IR"/>
        </w:rPr>
      </w:pPr>
      <w:bookmarkStart w:id="0" w:name="_Hlk159096966"/>
    </w:p>
    <w:p w14:paraId="004DAD96" w14:textId="77777777" w:rsidR="000663C0" w:rsidRDefault="000663C0" w:rsidP="000663C0">
      <w:pPr>
        <w:widowControl w:val="0"/>
        <w:bidi/>
        <w:spacing w:after="0" w:line="252" w:lineRule="auto"/>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جلسه قبل گفتيم که در تعيين کميت و کيفيت نفقه زوجه، هم شرائط زوجه دخيل است و هم شرائط زوج.</w:t>
      </w:r>
    </w:p>
    <w:p w14:paraId="3F0911E8" w14:textId="77777777" w:rsidR="000663C0" w:rsidRDefault="000663C0" w:rsidP="000663C0">
      <w:pPr>
        <w:widowControl w:val="0"/>
        <w:bidi/>
        <w:spacing w:after="0" w:line="252" w:lineRule="auto"/>
        <w:ind w:firstLine="284"/>
        <w:jc w:val="both"/>
        <w:rPr>
          <w:rFonts w:cs="Abz-2 (Badr)" w:hint="cs"/>
          <w:color w:val="000000" w:themeColor="text1"/>
          <w:spacing w:val="-4"/>
          <w:sz w:val="28"/>
          <w:szCs w:val="28"/>
          <w:rtl/>
          <w:lang w:bidi="fa-IR"/>
        </w:rPr>
      </w:pPr>
      <w:bookmarkStart w:id="1" w:name="_Hlk215394789"/>
      <w:r>
        <w:rPr>
          <w:rFonts w:cs="Abz-2 (Badr)" w:hint="cs"/>
          <w:color w:val="000000" w:themeColor="text1"/>
          <w:spacing w:val="-4"/>
          <w:sz w:val="28"/>
          <w:szCs w:val="28"/>
          <w:rtl/>
          <w:lang w:bidi="fa-IR"/>
        </w:rPr>
        <w:t>نتيجه اين امر نيز در جايی آشکار می</w:t>
      </w:r>
      <w:r>
        <w:rPr>
          <w:rFonts w:cs="Abz-2 (Badr)" w:hint="cs"/>
          <w:color w:val="000000" w:themeColor="text1"/>
          <w:spacing w:val="-4"/>
          <w:sz w:val="28"/>
          <w:szCs w:val="28"/>
          <w:rtl/>
          <w:lang w:bidi="fa-IR"/>
        </w:rPr>
        <w:softHyphen/>
        <w:t>شود که زوجه از خانواده</w:t>
      </w:r>
      <w:r>
        <w:rPr>
          <w:rFonts w:cs="Abz-2 (Badr)" w:hint="cs"/>
          <w:color w:val="000000" w:themeColor="text1"/>
          <w:spacing w:val="-4"/>
          <w:sz w:val="28"/>
          <w:szCs w:val="28"/>
          <w:rtl/>
          <w:lang w:bidi="fa-IR"/>
        </w:rPr>
        <w:softHyphen/>
        <w:t>ای باشد که مخارج زندگی معمول آنان بيش از اندازه مخارج معمول غالب مردم است و زوج نيز با سعی و تلاش و بدون اين که در حرج واقع شود، امکان تأمين مخارج زوجه در آن حد را داشته باشد، هرچند برای تأمين مخارج خود در اين حد تلاش نکند و زندگی را به سادگی و با قناعت سپری نمايد که در اين صورت بر زوج واجب است که با سعی و تلاش همان مقداری را که زوجه استحقاق دارد، برای وی فراهم نمايد.</w:t>
      </w:r>
    </w:p>
    <w:p w14:paraId="5A00D6E2" w14:textId="77777777" w:rsidR="000663C0" w:rsidRDefault="000663C0" w:rsidP="000663C0">
      <w:pPr>
        <w:widowControl w:val="0"/>
        <w:bidi/>
        <w:spacing w:after="0" w:line="252" w:lineRule="auto"/>
        <w:ind w:firstLine="284"/>
        <w:jc w:val="both"/>
        <w:rPr>
          <w:rFonts w:cs="Abz-2 (Badr)" w:hint="cs"/>
          <w:color w:val="000000" w:themeColor="text1"/>
          <w:spacing w:val="-2"/>
          <w:sz w:val="28"/>
          <w:szCs w:val="28"/>
          <w:rtl/>
          <w:lang w:bidi="fa-IR"/>
        </w:rPr>
      </w:pPr>
      <w:r>
        <w:rPr>
          <w:rFonts w:cs="Abz-2 (Badr)" w:hint="cs"/>
          <w:color w:val="000000" w:themeColor="text1"/>
          <w:spacing w:val="-2"/>
          <w:sz w:val="28"/>
          <w:szCs w:val="28"/>
          <w:rtl/>
          <w:lang w:bidi="fa-IR"/>
        </w:rPr>
        <w:t>اما چنانچه مصارف زوجه قبل از ازدواج در حد غالب مردم يا کمتر از آن باشد ولی به جهت اين که زوج دارای تمکن است و بالفعل دارای امکانات زيادی است، عرف زوجه را بعد از ازدواج مستحق مقدار بيشتری از نفقه به نسبت به آن چيزی بداند که قبل از نکاح از آن برخوردار بوده است، بر زوج واجب است که مقدار زائد نفقه زوجه را نيز بپردازد.</w:t>
      </w:r>
    </w:p>
    <w:p w14:paraId="6D409003"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به عبارت ديگر: در حکم عرف به کميت و کيفيت نفقه</w:t>
      </w:r>
      <w:r>
        <w:rPr>
          <w:rFonts w:cs="Abz-2 (Badr)" w:hint="cs"/>
          <w:color w:val="000000" w:themeColor="text1"/>
          <w:sz w:val="28"/>
          <w:szCs w:val="28"/>
          <w:rtl/>
          <w:lang w:bidi="fa-IR"/>
        </w:rPr>
        <w:softHyphen/>
        <w:t>ای که زوجه استحقاق آن را دارد، عوامل مختلفی می</w:t>
      </w:r>
      <w:r>
        <w:rPr>
          <w:rFonts w:cs="Abz-2 (Badr)" w:hint="cs"/>
          <w:color w:val="000000" w:themeColor="text1"/>
          <w:sz w:val="28"/>
          <w:szCs w:val="28"/>
          <w:rtl/>
          <w:lang w:bidi="fa-IR"/>
        </w:rPr>
        <w:softHyphen/>
        <w:t>تواند مؤثر باشد و لزوماً اين گونه نيست که فط يک عامل در آن مدخليت داشته باشد.</w:t>
      </w:r>
    </w:p>
    <w:p w14:paraId="60E1C337"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نتيجه اصل ملاک در تعيين آن اين است که عرفاً گفته شود که با نفقه</w:t>
      </w:r>
      <w:r>
        <w:rPr>
          <w:rFonts w:cs="Abz-2 (Badr)" w:hint="cs"/>
          <w:color w:val="000000" w:themeColor="text1"/>
          <w:sz w:val="28"/>
          <w:szCs w:val="28"/>
          <w:rtl/>
          <w:lang w:bidi="fa-IR"/>
        </w:rPr>
        <w:softHyphen/>
        <w:t>ای که به زوجه پرداخت شده است، اقامه صلب وی شده است.</w:t>
      </w:r>
    </w:p>
    <w:p w14:paraId="500B0632"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چنانچه زوج تنگدست بوده و يا بعد از ازدواج تنگدست شود و نتواند نفقه</w:t>
      </w:r>
      <w:r>
        <w:rPr>
          <w:rFonts w:cs="Abz-2 (Badr)" w:hint="cs"/>
          <w:color w:val="000000" w:themeColor="text1"/>
          <w:sz w:val="28"/>
          <w:szCs w:val="28"/>
          <w:rtl/>
          <w:lang w:bidi="fa-IR"/>
        </w:rPr>
        <w:softHyphen/>
        <w:t>ای را که به حسب حکم عرف زوجه استحقاق آن را دارد، به وی بپردازد، آيا باز هم تکليفی در اين خصوص متوجه وی می</w:t>
      </w:r>
      <w:r>
        <w:rPr>
          <w:rFonts w:cs="Abz-2 (Badr)" w:hint="cs"/>
          <w:color w:val="000000" w:themeColor="text1"/>
          <w:sz w:val="28"/>
          <w:szCs w:val="28"/>
          <w:rtl/>
          <w:lang w:bidi="fa-IR"/>
        </w:rPr>
        <w:softHyphen/>
        <w:t>باشد؟</w:t>
      </w:r>
    </w:p>
    <w:p w14:paraId="51F9979C"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ظاهر کلمات برخی از اصحاب که کلمات آنان گذشت، اين است که در اين صورت تکليف از فعليت ساقط می</w:t>
      </w:r>
      <w:r>
        <w:rPr>
          <w:rFonts w:cs="Abz-2 (Badr)" w:hint="cs"/>
          <w:color w:val="000000" w:themeColor="text1"/>
          <w:sz w:val="28"/>
          <w:szCs w:val="28"/>
          <w:rtl/>
          <w:lang w:bidi="fa-IR"/>
        </w:rPr>
        <w:softHyphen/>
        <w:t>شود، اما اصل تکليف پابرجاست و هر زمان که زوج تمکن پيدا کرد، بر او واجب است که کمبود نفقه زمان</w:t>
      </w:r>
      <w:r>
        <w:rPr>
          <w:rFonts w:cs="Abz-2 (Badr)" w:hint="cs"/>
          <w:color w:val="000000" w:themeColor="text1"/>
          <w:sz w:val="28"/>
          <w:szCs w:val="28"/>
          <w:rtl/>
          <w:lang w:bidi="fa-IR"/>
        </w:rPr>
        <w:softHyphen/>
        <w:t xml:space="preserve">های گذشته را </w:t>
      </w:r>
      <w:r>
        <w:rPr>
          <w:rFonts w:cs="Abz-2 (Badr)" w:hint="cs"/>
          <w:color w:val="000000" w:themeColor="text1"/>
          <w:sz w:val="28"/>
          <w:szCs w:val="28"/>
          <w:rtl/>
          <w:lang w:bidi="fa-IR"/>
        </w:rPr>
        <w:lastRenderedPageBreak/>
        <w:t>برای زوجه جبران کند.</w:t>
      </w:r>
    </w:p>
    <w:p w14:paraId="6F3A27A4"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ولی اين مطلب قابل التزام نيست؛ زيرا ظاهر آيه شريفه که فرموده است: </w:t>
      </w:r>
      <w:r>
        <w:rPr>
          <w:rFonts w:cs="QuranTaha" w:hint="cs"/>
          <w:color w:val="BF8F00" w:themeColor="accent4" w:themeShade="BF"/>
          <w:sz w:val="26"/>
          <w:szCs w:val="26"/>
          <w:rtl/>
          <w:lang w:bidi="ar"/>
        </w:rPr>
        <w:t xml:space="preserve">«وَمَنْ‌ قُدِرَ عَلَيْهِ‌ رِزْقُهُ‌ فَلْيُنْفِقْ‌ مِمّٰا آتٰاهُ‌ اللّٰهُ‌ لٰا يُكَلِّفُ‌ اللّٰهُ‌ نَفْساً إِلّٰا مٰا آتٰاهٰا» </w:t>
      </w:r>
      <w:r>
        <w:rPr>
          <w:rFonts w:cs="Abz-2 (Badr)" w:hint="cs"/>
          <w:color w:val="000000" w:themeColor="text1"/>
          <w:sz w:val="28"/>
          <w:szCs w:val="28"/>
          <w:rtl/>
          <w:lang w:bidi="fa-IR"/>
        </w:rPr>
        <w:t xml:space="preserve">اين است که کسی که تنگدست است، تکليفی به دادن نفقه بيش از آنچه که در توان دارد، متوجه وی نيست، و حمل اين عبارت بر نفی فعليت به جای نفی اصل تکليف که در کلمات فاضل مقداد گذشت، خلاف ظاهر آيه شريفه است ـ فلذا ايشان ادعای تقييد اطلاق عدم تکليف و اختصاص آن به حالت تنگدستی را کرده است ـ و دليلی برای آن وجود ندارد. و آنچه که در ادامه آيه فرموده است مبنی بر اين که: </w:t>
      </w:r>
      <w:r>
        <w:rPr>
          <w:rFonts w:cs="QuranTaha" w:hint="cs"/>
          <w:color w:val="BF8F00" w:themeColor="accent4" w:themeShade="BF"/>
          <w:sz w:val="26"/>
          <w:szCs w:val="26"/>
          <w:rtl/>
          <w:lang w:bidi="ar"/>
        </w:rPr>
        <w:t xml:space="preserve">«سَيَجْعَلُ‌ اللّٰهُ‌ بَعْدَ عُسْرٍ يُسْراً» </w:t>
      </w:r>
      <w:r>
        <w:rPr>
          <w:rFonts w:cs="Abz-2 (Badr)" w:hint="cs"/>
          <w:color w:val="000000" w:themeColor="text1"/>
          <w:sz w:val="28"/>
          <w:szCs w:val="28"/>
          <w:rtl/>
          <w:lang w:bidi="fa-IR"/>
        </w:rPr>
        <w:t>دلالتی بر اين مطلب ندارد، بلکه بيان قاعده</w:t>
      </w:r>
      <w:r>
        <w:rPr>
          <w:rFonts w:cs="Abz-2 (Badr)" w:hint="cs"/>
          <w:color w:val="000000" w:themeColor="text1"/>
          <w:sz w:val="28"/>
          <w:szCs w:val="28"/>
          <w:rtl/>
          <w:lang w:bidi="fa-IR"/>
        </w:rPr>
        <w:softHyphen/>
        <w:t>ای کلی و تکوينی توسط خداوند متعال است مبنی بر اين که هيچ سختی</w:t>
      </w:r>
      <w:r>
        <w:rPr>
          <w:rFonts w:cs="Abz-2 (Badr)" w:hint="cs"/>
          <w:color w:val="000000" w:themeColor="text1"/>
          <w:sz w:val="28"/>
          <w:szCs w:val="28"/>
          <w:rtl/>
          <w:lang w:bidi="fa-IR"/>
        </w:rPr>
        <w:softHyphen/>
        <w:t>ای دائمی نبوده و گذراست.</w:t>
      </w:r>
    </w:p>
    <w:p w14:paraId="250FB4F7"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ممکن است گمان شود آنچه که در اين آيه شريفه آمده است مربوط به مطلقات است و ارتباطی به نفقه زوجه ندارد.</w:t>
      </w:r>
    </w:p>
    <w:p w14:paraId="669E4145"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پاسخ اين است که اولاً: مطلقه رجعيه، زوجه يا در حکم زوجه است و نفقه وی تفاوتی با نفقه زوجه ندارد.</w:t>
      </w:r>
    </w:p>
    <w:p w14:paraId="603AD03A"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ثانياً: آنچه که در آيه شريفه آمده است، هرچند در مورد مطلقه رجعيه تطبيق شده است، اما می</w:t>
      </w:r>
      <w:r>
        <w:rPr>
          <w:rFonts w:cs="Abz-2 (Badr)" w:hint="cs"/>
          <w:color w:val="000000" w:themeColor="text1"/>
          <w:sz w:val="28"/>
          <w:szCs w:val="28"/>
          <w:rtl/>
          <w:lang w:bidi="fa-IR"/>
        </w:rPr>
        <w:softHyphen/>
        <w:t>توان ادعا کرد که در صدد بيان قاعده</w:t>
      </w:r>
      <w:r>
        <w:rPr>
          <w:rFonts w:cs="Abz-2 (Badr)" w:hint="cs"/>
          <w:color w:val="000000" w:themeColor="text1"/>
          <w:sz w:val="28"/>
          <w:szCs w:val="28"/>
          <w:rtl/>
          <w:lang w:bidi="fa-IR"/>
        </w:rPr>
        <w:softHyphen/>
        <w:t>ای کلی است و اين قاعده در نفقه جميع افراد ـ اعم از زوجه و غير او ـ جاری است.</w:t>
      </w:r>
    </w:p>
    <w:p w14:paraId="4B532AF2"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مؤيد آنچه گذشت، مطلبی است که در آيه سابق بر آن آمده و فرموده است: </w:t>
      </w:r>
      <w:r>
        <w:rPr>
          <w:rFonts w:cs="QuranTaha" w:hint="cs"/>
          <w:color w:val="BF8F00" w:themeColor="accent4" w:themeShade="BF"/>
          <w:sz w:val="26"/>
          <w:szCs w:val="26"/>
          <w:rtl/>
          <w:lang w:bidi="ar"/>
        </w:rPr>
        <w:t>«أَسْكِنُوهُنَّ مِنْ حَيْثُ سَكَـنْتُمْ مِنْ وُجْدِكُمْ»</w:t>
      </w:r>
      <w:r>
        <w:rPr>
          <w:rFonts w:cs="Abz-2 (Badr)"/>
          <w:color w:val="000000" w:themeColor="text1"/>
          <w:sz w:val="28"/>
          <w:szCs w:val="28"/>
          <w:vertAlign w:val="superscript"/>
          <w:rtl/>
          <w:lang w:bidi="fa-IR"/>
        </w:rPr>
        <w:footnoteReference w:id="1"/>
      </w:r>
      <w:r>
        <w:rPr>
          <w:rFonts w:cs="Abz-2 (Badr)" w:hint="cs"/>
          <w:color w:val="000000" w:themeColor="text1"/>
          <w:sz w:val="28"/>
          <w:szCs w:val="28"/>
          <w:rtl/>
          <w:lang w:bidi="fa-IR"/>
        </w:rPr>
        <w:t>، زيرا هرچند اين آيه مربوط به اسکان مطلقات رجعيه در ايام عده آنان است، اما گفتيم که از حيث نفقه، تفاوتی بين مطلقه رجعيه در ايام عده وی و زوجه وجود ندارد.</w:t>
      </w:r>
    </w:p>
    <w:p w14:paraId="50A352A4"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امر به اسکان مطلقه رجعيه در همان منزلی که زوج در آن ساکن است در حد وسع و توانايی زوج، نشانگر اين است که زوج تکليفی بيش از اين نسبت به اسکان ندارد و نمی</w:t>
      </w:r>
      <w:r>
        <w:rPr>
          <w:rFonts w:cs="Abz-2 (Badr)" w:hint="cs"/>
          <w:color w:val="000000" w:themeColor="text1"/>
          <w:sz w:val="28"/>
          <w:szCs w:val="28"/>
          <w:rtl/>
          <w:lang w:bidi="fa-IR"/>
        </w:rPr>
        <w:softHyphen/>
        <w:t xml:space="preserve">توان ادعا کرد که اگر مسکنی که زوجه در آن اشکان داده شده است، در شأن وی نباشد، زوج به نسبت به هزينه مازاد بر آن تا حد مناسب با شأن زوجه، به زوجه بدهکار </w:t>
      </w:r>
      <w:r>
        <w:rPr>
          <w:rFonts w:cs="Abz-2 (Badr)" w:hint="cs"/>
          <w:color w:val="000000" w:themeColor="text1"/>
          <w:sz w:val="28"/>
          <w:szCs w:val="28"/>
          <w:rtl/>
          <w:lang w:bidi="fa-IR"/>
        </w:rPr>
        <w:lastRenderedPageBreak/>
        <w:t>خواهد بود.</w:t>
      </w:r>
    </w:p>
    <w:p w14:paraId="24A6376B"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اما آنچه که در ادامه آيه ششم آمده مبنی بر اين که نبايد به زوجه ضرری وارد شود، تبيين مراد از آن را به جلسه آينده واگذار می</w:t>
      </w:r>
      <w:r>
        <w:rPr>
          <w:rFonts w:cs="Abz-2 (Badr)" w:hint="cs"/>
          <w:color w:val="000000" w:themeColor="text1"/>
          <w:sz w:val="28"/>
          <w:szCs w:val="28"/>
          <w:rtl/>
          <w:lang w:bidi="fa-IR"/>
        </w:rPr>
        <w:softHyphen/>
        <w:t>کنيم ان شاء الله.</w:t>
      </w:r>
    </w:p>
    <w:p w14:paraId="17A8D58C" w14:textId="77777777" w:rsidR="000663C0" w:rsidRDefault="000663C0" w:rsidP="000663C0">
      <w:pPr>
        <w:rPr>
          <w:rFonts w:cs="Abz-2 (Badr)" w:hint="cs"/>
          <w:color w:val="000000" w:themeColor="text1"/>
          <w:sz w:val="28"/>
          <w:szCs w:val="28"/>
          <w:rtl/>
          <w:lang w:bidi="fa-IR"/>
        </w:rPr>
      </w:pPr>
      <w:r>
        <w:rPr>
          <w:rFonts w:cs="Abz-2 (Badr)" w:hint="cs"/>
          <w:color w:val="000000" w:themeColor="text1"/>
          <w:sz w:val="28"/>
          <w:szCs w:val="28"/>
          <w:rtl/>
          <w:lang w:bidi="fa-IR"/>
        </w:rPr>
        <w:br w:type="page"/>
      </w:r>
    </w:p>
    <w:bookmarkEnd w:id="1"/>
    <w:p w14:paraId="43150EE3"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ذكرنا في الجلسة الماضية أنّه في تعيين مقدار نفقة الزوجة ونوعها، تكون ملاحظة حال الزوجة معتبرةً كما تكون ملاحظة حال الزوج معتبرة كذلك.</w:t>
      </w:r>
    </w:p>
    <w:p w14:paraId="19E8E8B1" w14:textId="77777777" w:rsidR="000663C0" w:rsidRDefault="000663C0" w:rsidP="000663C0">
      <w:pPr>
        <w:widowControl w:val="0"/>
        <w:bidi/>
        <w:spacing w:after="0"/>
        <w:ind w:firstLine="284"/>
        <w:jc w:val="both"/>
        <w:rPr>
          <w:rFonts w:cs="Abz-2 (Badr)" w:hint="cs"/>
          <w:color w:val="000000" w:themeColor="text1"/>
          <w:sz w:val="28"/>
          <w:szCs w:val="28"/>
          <w:rtl/>
          <w:lang w:bidi="fa-IR"/>
        </w:rPr>
      </w:pPr>
      <w:bookmarkStart w:id="2" w:name="_Hlk215481219"/>
      <w:r>
        <w:rPr>
          <w:rFonts w:cs="Abz-2 (Badr)" w:hint="cs"/>
          <w:color w:val="000000" w:themeColor="text1"/>
          <w:sz w:val="28"/>
          <w:szCs w:val="28"/>
          <w:rtl/>
        </w:rPr>
        <w:t>وتظهر ثمرة هذا المبنى فيما لو كانت الزوجة من أُسرة جرت العادة في نفقتها على مستوىً أعلى ممّا هو المعتاد عند غالب الناس وكان الزوج قادراً بالسعي وبغير وقوع في الحرج على توفير تلك النفقة لها، وإن لم يكن هو يصرف على نفسه في ذلك المستوى، بل يعيش ببساطة واقتصاد. فإنّ الزوج في مثل هذه الصورة يجب عليه أن يسعی لتوفير ما تستحقّه الزوجة من النفقة بحسب حالها، لا بحسب ما يصرفه هو على نفسه.</w:t>
      </w:r>
    </w:p>
    <w:p w14:paraId="17339A0E" w14:textId="77777777" w:rsidR="000663C0" w:rsidRDefault="000663C0" w:rsidP="000663C0">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وأمّا إذا كانت مصارف الزوجة قبل الزواج في حدود نفقة غالب الناس أو دونها إلا أنّ الزوج ذا تمكّن ويسار وله إمكانات واسعة بالفعل بحيث يرى العرف الزوجة بعد دخولها في كنفه مستحقّة لنفقة أعلى ممّا كانت عليه قبل الزواج، فإنّه يجب على الزوج في هذه الحالة دفع المقدار الزائد من النفقة، إذ المدار على حال الزوج وشأن الزوجة بعد الزواج لا على حالها السابق فحسب.</w:t>
      </w:r>
    </w:p>
    <w:p w14:paraId="31A9D710" w14:textId="77777777" w:rsidR="000663C0" w:rsidRDefault="000663C0" w:rsidP="000663C0">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وبعبارة أُخرى: إنّ الحكم العرفي في تحديد مقدار النفقة وكيفيّتها التي تستحقّها الزوجة قد تتدخّل فيه عوامل متعدّدة، ولا يناط بعامل واحد بالضرورة.</w:t>
      </w:r>
    </w:p>
    <w:p w14:paraId="5BAC61B2"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فإنّ الملاك الأساس في تقدير النفقة أن يقال عرفاً: إنّ النفقة المدفوعة للزوجة تحقّق إقامة صلبها وظهرها.</w:t>
      </w:r>
    </w:p>
    <w:p w14:paraId="7F2CBE2E"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لو كان الزوج معسراً أو أصبح معسراً بعد الزواج فلم يستطع أداء النفقة المستحقّة للزوجة بحسب ما يحكم به العرف، فهل يبقى التكليف ثابتاً في حقّه؟</w:t>
      </w:r>
    </w:p>
    <w:p w14:paraId="7288E6B7"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الظاهر من كلمات کثير من الأصحاب ـ ممّن مرّت أقوال بعضهم ـ أنّ التكليف يسقط عن الفعليّة في زمن الإعسار، غير أنّ أصل التكليف ثابت في الذمّة، بحيث إذا ارتفع الإعسار وتمكّن الزوج لاحقاً، وجب عليه تدارك ما فات وجبران النقص من النفقة الماضية.</w:t>
      </w:r>
    </w:p>
    <w:p w14:paraId="0907EC00"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ولكن هذا القول غير قابل للالتزام، لأنّ ظاهر الآية الشريفة</w:t>
      </w:r>
      <w:r>
        <w:rPr>
          <w:rFonts w:cs="Abz-2 (Badr)" w:hint="cs"/>
          <w:color w:val="000000" w:themeColor="text1"/>
          <w:sz w:val="28"/>
          <w:szCs w:val="28"/>
          <w:rtl/>
          <w:lang w:bidi="fa-IR"/>
        </w:rPr>
        <w:t xml:space="preserve">: </w:t>
      </w:r>
      <w:r>
        <w:rPr>
          <w:rFonts w:cs="QuranTaha" w:hint="cs"/>
          <w:color w:val="BF8F00" w:themeColor="accent4" w:themeShade="BF"/>
          <w:sz w:val="26"/>
          <w:szCs w:val="26"/>
          <w:rtl/>
          <w:lang w:bidi="ar"/>
        </w:rPr>
        <w:t xml:space="preserve">«وَمَنْ‌ قُدِرَ عَلَيْهِ‌ رِزْقُهُ‌ فَلْيُنْفِقْ‌ مِمّٰا آتٰاهُ‌ اللّٰهُ‌ لٰا يُكَلِّفُ‌ </w:t>
      </w:r>
      <w:r>
        <w:rPr>
          <w:rFonts w:cs="QuranTaha" w:hint="cs"/>
          <w:color w:val="BF8F00" w:themeColor="accent4" w:themeShade="BF"/>
          <w:sz w:val="26"/>
          <w:szCs w:val="26"/>
          <w:rtl/>
          <w:lang w:bidi="ar"/>
        </w:rPr>
        <w:lastRenderedPageBreak/>
        <w:t xml:space="preserve">اللّٰهُ‌ نَفْساً إِلّٰا مٰا آتٰاهٰا» </w:t>
      </w:r>
      <w:r>
        <w:rPr>
          <w:rFonts w:cs="Abz-2 (Badr)" w:hint="cs"/>
          <w:color w:val="000000" w:themeColor="text1"/>
          <w:sz w:val="28"/>
          <w:szCs w:val="28"/>
          <w:rtl/>
        </w:rPr>
        <w:t>يدلّ بوضوح على أنّ المعسر لا يتوجّه إليه تكليف ببذل نفقة تزيد على ما في وسعه وما آتاه الله من القدرة، وحمل الآية على نفي الفعليّة مع بقاء أصل التكليف، خلاف ظاهرها ـ ولذا ذهب الفاضل المقداد إلى تقييد إطلاق نفي التكليف وقصره على صورة الإعسار دون غيرها ـ ولا شاهد عليه.</w:t>
      </w:r>
    </w:p>
    <w:p w14:paraId="0FF576AC" w14:textId="77777777" w:rsidR="000663C0" w:rsidRDefault="000663C0" w:rsidP="000663C0">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وأمّا ما ورد في تتمّة الآية الشريفة: </w:t>
      </w:r>
      <w:r>
        <w:rPr>
          <w:rFonts w:cs="QuranTaha" w:hint="cs"/>
          <w:color w:val="BF8F00" w:themeColor="accent4" w:themeShade="BF"/>
          <w:sz w:val="26"/>
          <w:szCs w:val="26"/>
          <w:rtl/>
          <w:lang w:bidi="ar"/>
        </w:rPr>
        <w:t xml:space="preserve">«سَيَجْعَلُ‌ اللّٰهُ‌ بَعْدَ عُسْرٍ يُسْراً» </w:t>
      </w:r>
      <w:r>
        <w:rPr>
          <w:rFonts w:cs="Abz-2 (Badr)" w:hint="cs"/>
          <w:color w:val="000000" w:themeColor="text1"/>
          <w:sz w:val="28"/>
          <w:szCs w:val="28"/>
          <w:rtl/>
        </w:rPr>
        <w:t>لا يدلّ على بقاء التكليف في الذمّة انتظاراً لزوال الإعسار، بل هو بيان لقاعدة إلهيّة كونيّة مفادها أنّ العسر ليس دائماً وأنّ له مآلاً إلى اليسر بتقدير الله تعالى</w:t>
      </w:r>
      <w:r>
        <w:rPr>
          <w:rFonts w:cs="Abz-2 (Badr)" w:hint="cs"/>
          <w:color w:val="000000" w:themeColor="text1"/>
          <w:sz w:val="28"/>
          <w:szCs w:val="28"/>
          <w:rtl/>
          <w:lang w:bidi="fa-IR"/>
        </w:rPr>
        <w:t>.</w:t>
      </w:r>
    </w:p>
    <w:p w14:paraId="56D66093"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قد يقال: إنّ ما ورد في هذه الآية المباركة مختصّ بالمطلّقات ولا ارتباط له بنفقة الزوجة.</w:t>
      </w:r>
    </w:p>
    <w:p w14:paraId="7943DB2A" w14:textId="77777777" w:rsidR="000663C0" w:rsidRDefault="000663C0" w:rsidP="000663C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ولكن يجاب عن ذلك أوّلاً: إنّ المطلّقة الرجعيّة زوجة أو في حكمها، ونفقتها لا تختلف عن نفقة الزوجة.</w:t>
      </w:r>
    </w:p>
    <w:p w14:paraId="3B3BCC73" w14:textId="77777777" w:rsidR="000663C0" w:rsidRDefault="000663C0" w:rsidP="000663C0">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وثانياً: إنّ ما ورد في الآية المباركة وإن كان وارداً في مورد المطلّقة الرجعيّة، إلّا أنّه يمكن الادّعاء بأنّه في مقام بيان قاعدة كلّيّة، وهذه القاعدة تجري في نفقة جميع أفراد المنفق عليهم، زوجة كانت أو غيرها.</w:t>
      </w:r>
    </w:p>
    <w:p w14:paraId="001F2ABA" w14:textId="77777777" w:rsidR="000663C0" w:rsidRDefault="000663C0" w:rsidP="000663C0">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 xml:space="preserve">ويؤيّد ما ذكرناه ما ورد في الآية السابقة عليها، وهو قوله تعالى: </w:t>
      </w:r>
      <w:r>
        <w:rPr>
          <w:rFonts w:cs="QuranTaha" w:hint="cs"/>
          <w:color w:val="BF8F00" w:themeColor="accent4" w:themeShade="BF"/>
          <w:sz w:val="26"/>
          <w:szCs w:val="26"/>
          <w:rtl/>
          <w:lang w:bidi="ar"/>
        </w:rPr>
        <w:t>«أَسْكِنُوهُنَّ مِنْ حَيْثُ سَكَنْتُمْ مِنْ وُجْدِكُمْ»</w:t>
      </w:r>
      <w:bookmarkStart w:id="3" w:name="_Hlk215481280"/>
      <w:r>
        <w:rPr>
          <w:rFonts w:cs="Abz-2 (Badr)"/>
          <w:color w:val="000000" w:themeColor="text1"/>
          <w:sz w:val="28"/>
          <w:szCs w:val="28"/>
          <w:vertAlign w:val="superscript"/>
          <w:rtl/>
          <w:lang w:bidi="fa-IR"/>
        </w:rPr>
        <w:footnoteReference w:id="2"/>
      </w:r>
      <w:bookmarkEnd w:id="3"/>
      <w:r>
        <w:rPr>
          <w:rFonts w:cs="Abz-2 (Badr)"/>
          <w:color w:val="000000" w:themeColor="text1"/>
          <w:sz w:val="28"/>
          <w:szCs w:val="28"/>
        </w:rPr>
        <w:br/>
      </w:r>
      <w:r>
        <w:rPr>
          <w:rFonts w:cs="Abz-2 (Badr)" w:hint="cs"/>
          <w:color w:val="000000" w:themeColor="text1"/>
          <w:sz w:val="28"/>
          <w:szCs w:val="28"/>
          <w:rtl/>
        </w:rPr>
        <w:t>فإنّه وإن كان وارداً في إسكان المطلّقات الرجعيّات في أيّام العدّة، إلّا أنّه قد قلنا: إنّه لا فرق من حيث النفقة بين المطلّقة الرجعيّة في أيّام عدّتها وبين الزوجة.</w:t>
      </w:r>
    </w:p>
    <w:p w14:paraId="46B6D7F8" w14:textId="77777777" w:rsidR="000663C0" w:rsidRDefault="000663C0" w:rsidP="000663C0">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وبناءً علی ذلك فإنّ الأمر بإسكان المطلّقة الرجعيّة في المنزل الذي يسكن فيه الزوج وفي حدّ وسعه وطاقته، يدلّ على أنّ الزوج لا يكلّف بأكثر من ذلك، ولا يصحّ الادّعاء بأنّه لو كان المسكن الذي أسكنها فيه ممّا يسعه ويوجد عنده، غير لائق بشأنها، لكان مديناً للزوجة بالمقدار الزائد إلى الحدّ المناسب لشأنها.</w:t>
      </w:r>
    </w:p>
    <w:bookmarkEnd w:id="2"/>
    <w:p w14:paraId="6F8819FD" w14:textId="77777777" w:rsidR="000663C0" w:rsidRDefault="000663C0" w:rsidP="000663C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وأمّا ما ذكر في ذيل الآية السادسة من النهي عن إلحاق الضرر بالزوجة، فنؤخّر توضيح المراد منه إلى الجلسة الآتية إن شاء الله تعالى.</w:t>
      </w:r>
      <w:bookmarkEnd w:id="0"/>
    </w:p>
    <w:p w14:paraId="2AD04477" w14:textId="7D63A4A4" w:rsidR="00B706A3" w:rsidRPr="000663C0" w:rsidRDefault="00B706A3" w:rsidP="000663C0">
      <w:pPr>
        <w:rPr>
          <w:rtl/>
        </w:rPr>
      </w:pPr>
    </w:p>
    <w:sectPr w:rsidR="00B706A3" w:rsidRPr="000663C0"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FAB32" w14:textId="77777777" w:rsidR="009B564C" w:rsidRDefault="009B564C" w:rsidP="00F71127">
      <w:pPr>
        <w:spacing w:after="0" w:line="240" w:lineRule="auto"/>
      </w:pPr>
      <w:r>
        <w:separator/>
      </w:r>
    </w:p>
  </w:endnote>
  <w:endnote w:type="continuationSeparator" w:id="0">
    <w:p w14:paraId="6C55249B" w14:textId="77777777" w:rsidR="009B564C" w:rsidRDefault="009B564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7C59" w14:textId="77777777" w:rsidR="00F17741" w:rsidRDefault="00F17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71B1" w14:textId="77777777" w:rsidR="00F17741" w:rsidRDefault="00F17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16992" w14:textId="77777777" w:rsidR="009B564C" w:rsidRDefault="009B564C" w:rsidP="00EE25C0">
      <w:pPr>
        <w:bidi/>
        <w:spacing w:after="0" w:line="240" w:lineRule="auto"/>
      </w:pPr>
      <w:r>
        <w:separator/>
      </w:r>
    </w:p>
  </w:footnote>
  <w:footnote w:type="continuationSeparator" w:id="0">
    <w:p w14:paraId="1B5AF428" w14:textId="77777777" w:rsidR="009B564C" w:rsidRDefault="009B564C" w:rsidP="00F71127">
      <w:pPr>
        <w:bidi/>
        <w:spacing w:after="0" w:line="240" w:lineRule="auto"/>
      </w:pPr>
      <w:r>
        <w:continuationSeparator/>
      </w:r>
    </w:p>
  </w:footnote>
  <w:footnote w:id="1">
    <w:p w14:paraId="5359DF6B" w14:textId="77777777" w:rsidR="000663C0" w:rsidRDefault="000663C0" w:rsidP="000663C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طلاق(65):6.</w:t>
      </w:r>
    </w:p>
  </w:footnote>
  <w:footnote w:id="2">
    <w:p w14:paraId="39DCE3EA" w14:textId="77777777" w:rsidR="000663C0" w:rsidRDefault="000663C0" w:rsidP="000663C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الطلاق(65):6.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8898" w14:textId="77777777" w:rsidR="00F17741" w:rsidRDefault="00F177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170DF3A9"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0663C0">
                            <w:rPr>
                              <w:rFonts w:cs="B Mehr" w:hint="cs"/>
                              <w:rtl/>
                              <w:lang w:bidi="fa-IR"/>
                            </w:rPr>
                            <w:t>دو</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663C0">
                            <w:rPr>
                              <w:rFonts w:cs="B Mehr" w:hint="cs"/>
                              <w:rtl/>
                              <w:lang w:bidi="fa-IR"/>
                            </w:rPr>
                            <w:t>10</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170DF3A9"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0663C0">
                      <w:rPr>
                        <w:rFonts w:cs="B Mehr" w:hint="cs"/>
                        <w:rtl/>
                        <w:lang w:bidi="fa-IR"/>
                      </w:rPr>
                      <w:t>دو</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663C0">
                      <w:rPr>
                        <w:rFonts w:cs="B Mehr" w:hint="cs"/>
                        <w:rtl/>
                        <w:lang w:bidi="fa-IR"/>
                      </w:rPr>
                      <w:t>10</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02CB" w14:textId="77777777" w:rsidR="00F17741" w:rsidRDefault="00F177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674</cp:revision>
  <cp:lastPrinted>2025-04-14T09:12:00Z</cp:lastPrinted>
  <dcterms:created xsi:type="dcterms:W3CDTF">2022-10-16T08:36:00Z</dcterms:created>
  <dcterms:modified xsi:type="dcterms:W3CDTF">2025-12-01T08:19:00Z</dcterms:modified>
</cp:coreProperties>
</file>