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C3F9D" w14:textId="77777777" w:rsidR="00B76600" w:rsidRDefault="00B76600" w:rsidP="00B76600">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0EC1218F" w14:textId="77777777" w:rsidR="00B76600" w:rsidRDefault="00B76600" w:rsidP="00B76600">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22313548" w14:textId="77777777" w:rsidR="00B76600" w:rsidRDefault="00B76600" w:rsidP="00B76600">
      <w:pPr>
        <w:widowControl w:val="0"/>
        <w:bidi/>
        <w:spacing w:after="0"/>
        <w:jc w:val="center"/>
        <w:rPr>
          <w:rFonts w:cs="B Mitra" w:hint="cs"/>
          <w:b/>
          <w:bCs/>
          <w:sz w:val="32"/>
          <w:szCs w:val="32"/>
          <w:rtl/>
          <w:lang w:bidi="fa-IR"/>
        </w:rPr>
      </w:pPr>
      <w:r>
        <w:rPr>
          <w:rFonts w:cs="B Mitra" w:hint="cs"/>
          <w:b/>
          <w:bCs/>
          <w:sz w:val="32"/>
          <w:szCs w:val="32"/>
          <w:rtl/>
          <w:lang w:bidi="fa-IR"/>
        </w:rPr>
        <w:t>جلسه 874</w:t>
      </w:r>
    </w:p>
    <w:p w14:paraId="54D5C5D3" w14:textId="77777777" w:rsidR="00B76600" w:rsidRDefault="00B76600" w:rsidP="00B76600">
      <w:pPr>
        <w:widowControl w:val="0"/>
        <w:bidi/>
        <w:spacing w:after="0"/>
        <w:ind w:firstLine="284"/>
        <w:jc w:val="both"/>
        <w:rPr>
          <w:rFonts w:cs="Abz-2 (Badr)" w:hint="cs"/>
          <w:color w:val="000000" w:themeColor="text1"/>
          <w:sz w:val="28"/>
          <w:szCs w:val="28"/>
          <w:rtl/>
          <w:lang w:bidi="fa-IR"/>
        </w:rPr>
      </w:pPr>
      <w:bookmarkStart w:id="0" w:name="_Hlk159096966"/>
    </w:p>
    <w:p w14:paraId="2813121C" w14:textId="77777777" w:rsidR="00B76600" w:rsidRDefault="00B76600" w:rsidP="00B76600">
      <w:pPr>
        <w:widowControl w:val="0"/>
        <w:bidi/>
        <w:spacing w:after="0" w:line="261" w:lineRule="auto"/>
        <w:ind w:firstLine="284"/>
        <w:jc w:val="both"/>
        <w:rPr>
          <w:rFonts w:cs="Abz-2 (Badr)" w:hint="cs"/>
          <w:color w:val="0070C0"/>
          <w:spacing w:val="-4"/>
          <w:sz w:val="28"/>
          <w:szCs w:val="28"/>
          <w:rtl/>
          <w:lang w:bidi="ar"/>
        </w:rPr>
      </w:pPr>
      <w:r>
        <w:rPr>
          <w:rFonts w:cs="Abz-2 (Badr)" w:hint="cs"/>
          <w:color w:val="000000" w:themeColor="text1"/>
          <w:spacing w:val="-4"/>
          <w:sz w:val="28"/>
          <w:szCs w:val="28"/>
          <w:rtl/>
          <w:lang w:bidi="fa-IR"/>
        </w:rPr>
        <w:t>در خصوص ملاک طعامی که به عنوان نفقه داده می</w:t>
      </w:r>
      <w:r>
        <w:rPr>
          <w:rFonts w:cs="Abz-2 (Badr)" w:hint="cs"/>
          <w:color w:val="000000" w:themeColor="text1"/>
          <w:spacing w:val="-4"/>
          <w:sz w:val="28"/>
          <w:szCs w:val="28"/>
          <w:rtl/>
          <w:lang w:bidi="fa-IR"/>
        </w:rPr>
        <w:softHyphen/>
        <w:t>شود، شيخ در مبسوط می</w:t>
      </w:r>
      <w:r>
        <w:rPr>
          <w:rFonts w:cs="Abz-2 (Badr)" w:hint="cs"/>
          <w:color w:val="000000" w:themeColor="text1"/>
          <w:spacing w:val="-4"/>
          <w:sz w:val="28"/>
          <w:szCs w:val="28"/>
          <w:rtl/>
          <w:lang w:bidi="fa-IR"/>
        </w:rPr>
        <w:softHyphen/>
        <w:t xml:space="preserve">فرمايد: </w:t>
      </w:r>
      <w:r>
        <w:rPr>
          <w:rFonts w:cs="Abz-2 (Badr)" w:hint="cs"/>
          <w:color w:val="0070C0"/>
          <w:spacing w:val="-4"/>
          <w:sz w:val="28"/>
          <w:szCs w:val="28"/>
          <w:rtl/>
          <w:lang w:bidi="fa-IR"/>
        </w:rPr>
        <w:t xml:space="preserve">«نفقة الزوجات معتبرة بحال الزوج لا بحالها، </w:t>
      </w:r>
      <w:r>
        <w:rPr>
          <w:rFonts w:cs="Abz-2 (Badr)" w:hint="cs"/>
          <w:color w:val="0070C0"/>
          <w:spacing w:val="-4"/>
          <w:sz w:val="28"/>
          <w:szCs w:val="28"/>
          <w:rtl/>
          <w:lang w:bidi="ar"/>
        </w:rPr>
        <w:t>فإن كان مؤسراً فعليه مدّان في كلّ يوم، وإن كان متوسّطاً متجمّلاً فعليه مدّ ونصف، وإن كان معسراً فقدر المدّ.</w:t>
      </w:r>
    </w:p>
    <w:p w14:paraId="7EAA8992" w14:textId="77777777" w:rsidR="00B76600" w:rsidRDefault="00B76600" w:rsidP="00B76600">
      <w:pPr>
        <w:widowControl w:val="0"/>
        <w:bidi/>
        <w:spacing w:after="0" w:line="261" w:lineRule="auto"/>
        <w:ind w:firstLine="284"/>
        <w:jc w:val="both"/>
        <w:rPr>
          <w:rFonts w:cs="Abz-2 (Badr)" w:hint="cs"/>
          <w:color w:val="0070C0"/>
          <w:sz w:val="28"/>
          <w:szCs w:val="28"/>
          <w:rtl/>
          <w:lang w:bidi="ar"/>
        </w:rPr>
      </w:pPr>
      <w:r>
        <w:rPr>
          <w:rFonts w:cs="Abz-2 (Badr)" w:hint="cs"/>
          <w:color w:val="0070C0"/>
          <w:sz w:val="28"/>
          <w:szCs w:val="28"/>
          <w:rtl/>
          <w:lang w:bidi="ar"/>
        </w:rPr>
        <w:t>فالنفقات ثلاثة: نفقة المؤسر والمتوسّط والمعسر؛ وفيه خلاف.»</w:t>
      </w:r>
      <w:r>
        <w:rPr>
          <w:rFonts w:cs="Abz-2 (Badr)"/>
          <w:color w:val="000000" w:themeColor="text1"/>
          <w:sz w:val="28"/>
          <w:szCs w:val="28"/>
          <w:vertAlign w:val="superscript"/>
          <w:rtl/>
          <w:lang w:bidi="fa-IR"/>
        </w:rPr>
        <w:footnoteReference w:id="1"/>
      </w:r>
    </w:p>
    <w:p w14:paraId="6F6C983A" w14:textId="77777777" w:rsidR="00B76600" w:rsidRDefault="00B76600" w:rsidP="00B76600">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ابن براج نيز نظير همين مطلب را فرموده است، هرچند تقدير مذکور را به «قيل» نسبت داده است.</w:t>
      </w:r>
      <w:r>
        <w:rPr>
          <w:vertAlign w:val="superscript"/>
          <w:rtl/>
        </w:rPr>
        <w:footnoteReference w:id="2"/>
      </w:r>
    </w:p>
    <w:p w14:paraId="3418E261" w14:textId="77777777" w:rsidR="00B76600" w:rsidRDefault="00B76600" w:rsidP="00B76600">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اما شيخ در خلاف فرموده است: </w:t>
      </w:r>
      <w:r>
        <w:rPr>
          <w:rFonts w:cs="Abz-2 (Badr)" w:hint="cs"/>
          <w:color w:val="0070C0"/>
          <w:sz w:val="28"/>
          <w:szCs w:val="28"/>
          <w:rtl/>
          <w:lang w:bidi="fa-IR"/>
        </w:rPr>
        <w:t>«</w:t>
      </w:r>
      <w:r>
        <w:rPr>
          <w:rFonts w:cs="Abz-2 (Badr)" w:hint="cs"/>
          <w:color w:val="0070C0"/>
          <w:sz w:val="28"/>
          <w:szCs w:val="28"/>
          <w:rtl/>
          <w:lang w:bidi="ar"/>
        </w:rPr>
        <w:t>نفقة الزوجات مقدّرة وهي مدّ قدره رطلان وربع.</w:t>
      </w:r>
    </w:p>
    <w:p w14:paraId="39B18013" w14:textId="77777777" w:rsidR="00B76600" w:rsidRDefault="00B76600" w:rsidP="00B76600">
      <w:pPr>
        <w:widowControl w:val="0"/>
        <w:bidi/>
        <w:spacing w:after="0" w:line="261" w:lineRule="auto"/>
        <w:ind w:firstLine="284"/>
        <w:jc w:val="both"/>
        <w:rPr>
          <w:rFonts w:cs="Abz-2 (Badr)" w:hint="cs"/>
          <w:color w:val="0070C0"/>
          <w:sz w:val="28"/>
          <w:szCs w:val="28"/>
          <w:rtl/>
          <w:lang w:bidi="ar"/>
        </w:rPr>
      </w:pPr>
      <w:r>
        <w:rPr>
          <w:rFonts w:cs="Abz-2 (Badr)" w:hint="cs"/>
          <w:color w:val="0070C0"/>
          <w:sz w:val="28"/>
          <w:szCs w:val="28"/>
          <w:rtl/>
          <w:lang w:bidi="ar"/>
        </w:rPr>
        <w:t>وقال الشافعي: نفقاتهنّ على ثلاثة أقسام: الاعتبار بالزوج إن كان مؤسراً فمدّان، وإن كان متوسّطاً فمدّ ونصف، وإن كان معسراً فمدّ واحد. والمدّ عنده رطل وثلث...</w:t>
      </w:r>
    </w:p>
    <w:p w14:paraId="698B34C3" w14:textId="77777777" w:rsidR="00B76600" w:rsidRDefault="00B76600" w:rsidP="00B76600">
      <w:pPr>
        <w:widowControl w:val="0"/>
        <w:bidi/>
        <w:spacing w:after="0" w:line="261" w:lineRule="auto"/>
        <w:ind w:firstLine="284"/>
        <w:jc w:val="both"/>
        <w:rPr>
          <w:rFonts w:cs="Abz-2 (Badr)" w:hint="cs"/>
          <w:color w:val="0070C0"/>
          <w:sz w:val="28"/>
          <w:szCs w:val="28"/>
          <w:rtl/>
          <w:lang w:bidi="fa-IR"/>
        </w:rPr>
      </w:pPr>
      <w:r>
        <w:rPr>
          <w:rFonts w:cs="Abz-2 (Badr)" w:hint="cs"/>
          <w:color w:val="0070C0"/>
          <w:sz w:val="28"/>
          <w:szCs w:val="28"/>
          <w:rtl/>
          <w:lang w:bidi="ar"/>
        </w:rPr>
        <w:t>دليلنا: إجماع الفرقة وأخبارهم.»</w:t>
      </w:r>
      <w:r>
        <w:rPr>
          <w:rFonts w:cs="Abz-2 (Badr)"/>
          <w:color w:val="000000" w:themeColor="text1"/>
          <w:sz w:val="28"/>
          <w:szCs w:val="28"/>
          <w:vertAlign w:val="superscript"/>
          <w:rtl/>
          <w:lang w:bidi="fa-IR"/>
        </w:rPr>
        <w:footnoteReference w:id="3"/>
      </w:r>
    </w:p>
    <w:p w14:paraId="1C741135" w14:textId="77777777" w:rsidR="00B76600" w:rsidRDefault="00B76600" w:rsidP="00B76600">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با توجه به آنچه که در خلاف گذشت، معلوم می</w:t>
      </w:r>
      <w:r>
        <w:rPr>
          <w:rFonts w:cs="Abz-2 (Badr)" w:hint="cs"/>
          <w:color w:val="000000" w:themeColor="text1"/>
          <w:sz w:val="28"/>
          <w:szCs w:val="28"/>
          <w:rtl/>
          <w:lang w:bidi="fa-IR"/>
        </w:rPr>
        <w:softHyphen/>
        <w:t>شود که مدعای ايشان در مبسوط مطابق با نظر شافعی است و دليلی برای آن وجود ندارد.</w:t>
      </w:r>
    </w:p>
    <w:p w14:paraId="2BC4D51A" w14:textId="77777777" w:rsidR="00B76600" w:rsidRDefault="00B76600" w:rsidP="00B76600">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آنچه که در خصوص منصوص بودن مقدار مدّ بيان کرده</w:t>
      </w:r>
      <w:r>
        <w:rPr>
          <w:rFonts w:cs="Abz-2 (Badr)" w:hint="cs"/>
          <w:color w:val="000000" w:themeColor="text1"/>
          <w:sz w:val="28"/>
          <w:szCs w:val="28"/>
          <w:rtl/>
          <w:lang w:bidi="fa-IR"/>
        </w:rPr>
        <w:softHyphen/>
        <w:t>اند ناظر به صحيحه شهاب است.</w:t>
      </w:r>
    </w:p>
    <w:p w14:paraId="39301EC9" w14:textId="77777777" w:rsidR="00B76600" w:rsidRDefault="00B76600" w:rsidP="00B76600">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در برابر اين مدعا علامه از ابن جنيد اين گونه نقل می</w:t>
      </w:r>
      <w:r>
        <w:rPr>
          <w:rFonts w:cs="Abz-2 (Badr)" w:hint="cs"/>
          <w:color w:val="000000" w:themeColor="text1"/>
          <w:sz w:val="28"/>
          <w:szCs w:val="28"/>
          <w:rtl/>
          <w:lang w:bidi="fa-IR"/>
        </w:rPr>
        <w:softHyphen/>
        <w:t xml:space="preserve">کند: </w:t>
      </w:r>
      <w:r>
        <w:rPr>
          <w:rFonts w:cs="Abz-2 (Badr)" w:hint="cs"/>
          <w:color w:val="0070C0"/>
          <w:sz w:val="28"/>
          <w:szCs w:val="28"/>
          <w:rtl/>
          <w:lang w:bidi="fa-IR"/>
        </w:rPr>
        <w:t>«</w:t>
      </w:r>
      <w:r>
        <w:rPr>
          <w:rFonts w:cs="Abz-2 (Badr)" w:hint="cs"/>
          <w:color w:val="0070C0"/>
          <w:sz w:val="28"/>
          <w:szCs w:val="28"/>
          <w:rtl/>
          <w:lang w:bidi="ar"/>
        </w:rPr>
        <w:t xml:space="preserve">ابن الجنيد لم يقدّر، بل قال: وحقّ‌ المرأة على زوجها ما </w:t>
      </w:r>
      <w:r>
        <w:rPr>
          <w:rFonts w:cs="Abz-2 (Badr)" w:hint="cs"/>
          <w:color w:val="0070C0"/>
          <w:sz w:val="28"/>
          <w:szCs w:val="28"/>
          <w:rtl/>
          <w:lang w:bidi="ar"/>
        </w:rPr>
        <w:lastRenderedPageBreak/>
        <w:t>يسدّ جوعتها ويستر عورتها، هذا في الإقتار، والمتوسّط أن يكون يطعمها اللحم في كلّ‌ ثلاثة أيّام.»</w:t>
      </w:r>
      <w:r>
        <w:rPr>
          <w:rFonts w:cs="Abz-2 (Badr)"/>
          <w:color w:val="000000" w:themeColor="text1"/>
          <w:sz w:val="28"/>
          <w:szCs w:val="28"/>
          <w:vertAlign w:val="superscript"/>
          <w:rtl/>
          <w:lang w:bidi="fa-IR"/>
        </w:rPr>
        <w:footnoteReference w:id="4"/>
      </w:r>
    </w:p>
    <w:p w14:paraId="0619E4C8" w14:textId="77777777" w:rsidR="00B76600" w:rsidRDefault="00B76600" w:rsidP="00B76600">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ابن حمزه نيز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الزوج ثلاثة أنواع: حرّ ومكاتب وعبد. والحرّ ثلاثة أنواع: مؤسر ومتوسّط ومعسر. والزوجة ثلاثة أنواع: حرّة شريفة، وغير شريفة، وأمة.</w:t>
      </w:r>
    </w:p>
    <w:p w14:paraId="2A6A8561" w14:textId="77777777" w:rsidR="00B76600" w:rsidRDefault="00B76600" w:rsidP="00B76600">
      <w:pPr>
        <w:widowControl w:val="0"/>
        <w:bidi/>
        <w:spacing w:after="0" w:line="261" w:lineRule="auto"/>
        <w:ind w:firstLine="284"/>
        <w:jc w:val="both"/>
        <w:rPr>
          <w:rFonts w:cs="Abz-2 (Badr)" w:hint="cs"/>
          <w:color w:val="000000" w:themeColor="text1"/>
          <w:sz w:val="28"/>
          <w:szCs w:val="28"/>
          <w:rtl/>
          <w:lang w:bidi="fa-IR"/>
        </w:rPr>
      </w:pPr>
      <w:r>
        <w:rPr>
          <w:rFonts w:cs="Abz-2 (Badr)" w:hint="cs"/>
          <w:color w:val="0070C0"/>
          <w:sz w:val="28"/>
          <w:szCs w:val="28"/>
          <w:rtl/>
          <w:lang w:bidi="ar"/>
        </w:rPr>
        <w:t>فالمؤسر إذا تزوّج بشريفة ووجبت النفقة عليه، لزمه من الإطعام والإدام على حسب عادة البلد.»</w:t>
      </w:r>
      <w:r>
        <w:rPr>
          <w:rFonts w:cs="Abz-2 (Badr)"/>
          <w:color w:val="000000" w:themeColor="text1"/>
          <w:sz w:val="28"/>
          <w:szCs w:val="28"/>
          <w:vertAlign w:val="superscript"/>
          <w:rtl/>
          <w:lang w:bidi="fa-IR"/>
        </w:rPr>
        <w:footnoteReference w:id="5"/>
      </w:r>
    </w:p>
    <w:p w14:paraId="538BA0F8" w14:textId="77777777" w:rsidR="00B76600" w:rsidRDefault="00B76600" w:rsidP="00B76600">
      <w:pPr>
        <w:widowControl w:val="0"/>
        <w:bidi/>
        <w:spacing w:after="0" w:line="261" w:lineRule="auto"/>
        <w:ind w:firstLine="284"/>
        <w:jc w:val="both"/>
        <w:rPr>
          <w:rFonts w:cs="Abz-2 (Badr)" w:hint="cs"/>
          <w:color w:val="0070C0"/>
          <w:sz w:val="28"/>
          <w:szCs w:val="28"/>
          <w:rtl/>
        </w:rPr>
      </w:pPr>
      <w:r>
        <w:rPr>
          <w:rFonts w:cs="Abz-2 (Badr)" w:hint="cs"/>
          <w:color w:val="000000" w:themeColor="text1"/>
          <w:sz w:val="28"/>
          <w:szCs w:val="28"/>
          <w:rtl/>
          <w:lang w:bidi="fa-IR"/>
        </w:rPr>
        <w:t xml:space="preserve">ابن ادريس نيز فرموده است: </w:t>
      </w:r>
      <w:r>
        <w:rPr>
          <w:rFonts w:cs="Abz-2 (Badr)" w:hint="cs"/>
          <w:color w:val="0070C0"/>
          <w:sz w:val="28"/>
          <w:szCs w:val="28"/>
          <w:rtl/>
          <w:lang w:bidi="fa-IR"/>
        </w:rPr>
        <w:t>«</w:t>
      </w:r>
      <w:r>
        <w:rPr>
          <w:rFonts w:cs="Abz-2 (Badr)" w:hint="cs"/>
          <w:color w:val="0070C0"/>
          <w:sz w:val="28"/>
          <w:szCs w:val="28"/>
          <w:rtl/>
        </w:rPr>
        <w:t>نفقة الزوجات عندنا غير مقدّرة بلا خلاف، إلا من شيخنا أبي جعفر في مسائل خلافه، فإنّه ذهب إلى أنّها مقدّرة ومبلغها مدّ وقدره رطلان وربع، ثمّ استدل رحمه الله بإجماع الفرقة وأخبارهم.</w:t>
      </w:r>
    </w:p>
    <w:p w14:paraId="2EAB35EB" w14:textId="77777777" w:rsidR="00B76600" w:rsidRDefault="00B76600" w:rsidP="00B76600">
      <w:pPr>
        <w:widowControl w:val="0"/>
        <w:bidi/>
        <w:spacing w:after="0" w:line="244" w:lineRule="auto"/>
        <w:ind w:firstLine="284"/>
        <w:jc w:val="both"/>
        <w:rPr>
          <w:rFonts w:cs="Abz-2 (Badr)" w:hint="cs"/>
          <w:color w:val="0070C0"/>
          <w:sz w:val="28"/>
          <w:szCs w:val="28"/>
          <w:rtl/>
        </w:rPr>
      </w:pPr>
      <w:r>
        <w:rPr>
          <w:rFonts w:cs="Abz-2 (Badr)" w:hint="cs"/>
          <w:color w:val="0070C0"/>
          <w:sz w:val="28"/>
          <w:szCs w:val="28"/>
          <w:rtl/>
        </w:rPr>
        <w:t>وهذا عجيب منه رضي الله عنه، والسبر بيننا وبينه، فإنّ أخبارنا لم يرد منها خبر بتقدير نفقة.</w:t>
      </w:r>
    </w:p>
    <w:p w14:paraId="79403A74" w14:textId="77777777" w:rsidR="00B76600" w:rsidRDefault="00B76600" w:rsidP="00B76600">
      <w:pPr>
        <w:widowControl w:val="0"/>
        <w:bidi/>
        <w:spacing w:after="0" w:line="244" w:lineRule="auto"/>
        <w:ind w:firstLine="284"/>
        <w:jc w:val="both"/>
        <w:rPr>
          <w:rFonts w:cs="Abz-2 (Badr)" w:hint="cs"/>
          <w:color w:val="0070C0"/>
          <w:sz w:val="28"/>
          <w:szCs w:val="28"/>
          <w:rtl/>
        </w:rPr>
      </w:pPr>
      <w:r>
        <w:rPr>
          <w:rFonts w:cs="Abz-2 (Badr)" w:hint="cs"/>
          <w:color w:val="0070C0"/>
          <w:sz w:val="28"/>
          <w:szCs w:val="28"/>
          <w:rtl/>
        </w:rPr>
        <w:t>وأمّا أصحابنا المصنّفون فما يوجد لأحد منهم في تصنيف له تقدير النفقة إلا من قلّده وتابعه أخيراً.</w:t>
      </w:r>
    </w:p>
    <w:p w14:paraId="300F7C49" w14:textId="77777777" w:rsidR="00B76600" w:rsidRDefault="00B76600" w:rsidP="00B76600">
      <w:pPr>
        <w:widowControl w:val="0"/>
        <w:bidi/>
        <w:spacing w:after="0" w:line="244" w:lineRule="auto"/>
        <w:ind w:firstLine="284"/>
        <w:jc w:val="both"/>
        <w:rPr>
          <w:rFonts w:cs="Abz-2 (Badr)" w:hint="cs"/>
          <w:color w:val="0070C0"/>
          <w:sz w:val="28"/>
          <w:szCs w:val="28"/>
          <w:rtl/>
        </w:rPr>
      </w:pPr>
      <w:r>
        <w:rPr>
          <w:rFonts w:cs="Abz-2 (Badr)" w:hint="cs"/>
          <w:color w:val="0070C0"/>
          <w:sz w:val="28"/>
          <w:szCs w:val="28"/>
          <w:rtl/>
        </w:rPr>
        <w:t xml:space="preserve">والدليل على أصل المسألة قوله تعالى: </w:t>
      </w:r>
      <w:r>
        <w:rPr>
          <w:rFonts w:cs="QuranTaha" w:hint="cs"/>
          <w:color w:val="BF8F00" w:themeColor="accent4" w:themeShade="BF"/>
          <w:sz w:val="26"/>
          <w:szCs w:val="26"/>
          <w:rtl/>
        </w:rPr>
        <w:t>«وَعاشِرُوهُنَّ بِالْمَعْرُوفِ</w:t>
      </w:r>
      <w:r>
        <w:rPr>
          <w:rFonts w:cs="QuranTaha" w:hint="cs"/>
          <w:color w:val="BF8F00" w:themeColor="accent4" w:themeShade="BF"/>
          <w:sz w:val="26"/>
          <w:szCs w:val="26"/>
          <w:rtl/>
          <w:lang w:bidi="fa-IR"/>
        </w:rPr>
        <w:t>»</w:t>
      </w:r>
      <w:r>
        <w:rPr>
          <w:rFonts w:cs="Abz-2 (Badr)"/>
          <w:color w:val="000000" w:themeColor="text1"/>
          <w:sz w:val="28"/>
          <w:szCs w:val="28"/>
          <w:vertAlign w:val="superscript"/>
          <w:rtl/>
          <w:lang w:bidi="fa-IR"/>
        </w:rPr>
        <w:footnoteReference w:id="6"/>
      </w:r>
      <w:r>
        <w:rPr>
          <w:rFonts w:cs="Abz-2 (Badr)" w:hint="cs"/>
          <w:color w:val="0070C0"/>
          <w:sz w:val="28"/>
          <w:szCs w:val="28"/>
          <w:rtl/>
          <w:lang w:bidi="fa-IR"/>
        </w:rPr>
        <w:t xml:space="preserve">، </w:t>
      </w:r>
      <w:r>
        <w:rPr>
          <w:rFonts w:cs="Abz-2 (Badr)" w:hint="cs"/>
          <w:color w:val="0070C0"/>
          <w:sz w:val="28"/>
          <w:szCs w:val="28"/>
          <w:rtl/>
        </w:rPr>
        <w:t>أي بما يتعارف الناس. وأيضاً الأصل براءة الذمّة من التقدير، فمن ادّعى شيئاً بعينه فإنّه يحتاج إلى دليل، ولا دليل عليه من كتاب ولا سنّة ولا إجماع، والأصل براءة الذمّة.»</w:t>
      </w:r>
      <w:r>
        <w:rPr>
          <w:rFonts w:cs="Abz-2 (Badr)"/>
          <w:color w:val="000000" w:themeColor="text1"/>
          <w:sz w:val="28"/>
          <w:szCs w:val="28"/>
          <w:vertAlign w:val="superscript"/>
          <w:rtl/>
          <w:lang w:bidi="fa-IR"/>
        </w:rPr>
        <w:footnoteReference w:id="7"/>
      </w:r>
    </w:p>
    <w:p w14:paraId="5D1FD801" w14:textId="77777777" w:rsidR="00B76600" w:rsidRDefault="00B76600" w:rsidP="00B76600">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معلوم است که ادعای ابن ادريس در خصوص عدم ورود خبری که دلالت بر تقدير نفقه بنمايد، ناشی از عدم اطلاع وی از صحيحه شهاب است.</w:t>
      </w:r>
    </w:p>
    <w:p w14:paraId="29AE9640" w14:textId="77777777" w:rsidR="00B76600" w:rsidRDefault="00B76600" w:rsidP="00B76600">
      <w:pPr>
        <w:widowControl w:val="0"/>
        <w:bidi/>
        <w:spacing w:after="0" w:line="244" w:lineRule="auto"/>
        <w:ind w:firstLine="284"/>
        <w:jc w:val="both"/>
        <w:rPr>
          <w:rFonts w:cs="Abz-2 (Badr)" w:hint="cs"/>
          <w:color w:val="0070C0"/>
          <w:sz w:val="28"/>
          <w:szCs w:val="28"/>
          <w:rtl/>
        </w:rPr>
      </w:pPr>
      <w:r>
        <w:rPr>
          <w:rFonts w:cs="Abz-2 (Badr)" w:hint="cs"/>
          <w:color w:val="000000" w:themeColor="text1"/>
          <w:sz w:val="28"/>
          <w:szCs w:val="28"/>
          <w:rtl/>
          <w:lang w:bidi="fa-IR"/>
        </w:rPr>
        <w:t>به همين جهت علامه در مختلف با اعتراض به ابن ادريس می</w:t>
      </w:r>
      <w:r>
        <w:rPr>
          <w:rFonts w:cs="Abz-2 (Badr)" w:hint="cs"/>
          <w:color w:val="000000" w:themeColor="text1"/>
          <w:sz w:val="28"/>
          <w:szCs w:val="28"/>
          <w:rtl/>
          <w:lang w:bidi="fa-IR"/>
        </w:rPr>
        <w:softHyphen/>
        <w:t xml:space="preserve">فرمايد: </w:t>
      </w:r>
      <w:r>
        <w:rPr>
          <w:rFonts w:cs="Abz-2 (Badr)" w:hint="cs"/>
          <w:color w:val="0070C0"/>
          <w:sz w:val="28"/>
          <w:szCs w:val="28"/>
          <w:rtl/>
        </w:rPr>
        <w:t>«قول ابن إدريس وإن كان جيّداً، لكن نسبة الشيخ إلى قول ما ليس بحقّ‌ في غاية الجهل والحمق.»</w:t>
      </w:r>
      <w:r>
        <w:rPr>
          <w:rFonts w:cs="Abz-2 (Badr)"/>
          <w:color w:val="000000" w:themeColor="text1"/>
          <w:sz w:val="28"/>
          <w:szCs w:val="28"/>
          <w:vertAlign w:val="superscript"/>
          <w:rtl/>
          <w:lang w:bidi="fa-IR"/>
        </w:rPr>
        <w:footnoteReference w:id="8"/>
      </w:r>
    </w:p>
    <w:p w14:paraId="29C6E0B4" w14:textId="77777777" w:rsidR="00B76600" w:rsidRDefault="00B76600" w:rsidP="00B76600">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صاحب رياض عدم تقدير نفقه و احاله آن به متعارف را اشهر در بين اصحاب دانسته</w:t>
      </w:r>
      <w:r>
        <w:rPr>
          <w:vertAlign w:val="superscript"/>
          <w:rtl/>
        </w:rPr>
        <w:footnoteReference w:id="9"/>
      </w:r>
      <w:r>
        <w:rPr>
          <w:rFonts w:cs="Abz-2 (Badr)" w:hint="cs"/>
          <w:color w:val="000000" w:themeColor="text1"/>
          <w:sz w:val="28"/>
          <w:szCs w:val="28"/>
          <w:rtl/>
          <w:lang w:bidi="fa-IR"/>
        </w:rPr>
        <w:t xml:space="preserve">، بلکه فيض کاشانی ومحقق </w:t>
      </w:r>
      <w:r>
        <w:rPr>
          <w:rFonts w:cs="Abz-2 (Badr)" w:hint="cs"/>
          <w:color w:val="000000" w:themeColor="text1"/>
          <w:sz w:val="28"/>
          <w:szCs w:val="28"/>
          <w:rtl/>
          <w:lang w:bidi="fa-IR"/>
        </w:rPr>
        <w:lastRenderedPageBreak/>
        <w:t>سبزواری آن را به مشهور نسبت داده</w:t>
      </w:r>
      <w:r>
        <w:rPr>
          <w:rFonts w:cs="Abz-2 (Badr)" w:hint="cs"/>
          <w:color w:val="000000" w:themeColor="text1"/>
          <w:sz w:val="28"/>
          <w:szCs w:val="28"/>
          <w:rtl/>
          <w:lang w:bidi="fa-IR"/>
        </w:rPr>
        <w:softHyphen/>
        <w:t>اند</w:t>
      </w:r>
      <w:r>
        <w:rPr>
          <w:vertAlign w:val="superscript"/>
          <w:rtl/>
        </w:rPr>
        <w:footnoteReference w:id="10"/>
      </w:r>
      <w:r>
        <w:rPr>
          <w:rFonts w:cs="Abz-2 (Badr)" w:hint="cs"/>
          <w:color w:val="000000" w:themeColor="text1"/>
          <w:sz w:val="28"/>
          <w:szCs w:val="28"/>
          <w:rtl/>
          <w:lang w:bidi="fa-IR"/>
        </w:rPr>
        <w:t>.</w:t>
      </w:r>
    </w:p>
    <w:p w14:paraId="4DA72FDB" w14:textId="77777777" w:rsidR="00B76600" w:rsidRDefault="00B76600" w:rsidP="00B76600">
      <w:pPr>
        <w:widowControl w:val="0"/>
        <w:bidi/>
        <w:spacing w:after="0" w:line="244" w:lineRule="auto"/>
        <w:ind w:firstLine="284"/>
        <w:jc w:val="both"/>
        <w:rPr>
          <w:rFonts w:cs="Abz-2 (Badr)" w:hint="cs"/>
          <w:color w:val="0070C0"/>
          <w:sz w:val="28"/>
          <w:szCs w:val="28"/>
          <w:rtl/>
          <w:lang w:bidi="fa-IR"/>
        </w:rPr>
      </w:pPr>
      <w:r>
        <w:rPr>
          <w:rFonts w:cs="Abz-2 (Badr)" w:hint="cs"/>
          <w:color w:val="000000" w:themeColor="text1"/>
          <w:sz w:val="28"/>
          <w:szCs w:val="28"/>
          <w:rtl/>
          <w:lang w:bidi="fa-IR"/>
        </w:rPr>
        <w:t>شهيد ثانی نيز بعد از ذکر کلام شيخ در خلاف و مبسوط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«الأصل في هذا التقدير أن المدّ قدّره الشارع في الكفّارات قوتاً للمسكين، فاعتبرت النفقة به، لأنّ كلّ‌ واحد منهما مال يجب بالشرع لأجل القوت ويستقرّ في الذمّة.</w:t>
      </w:r>
    </w:p>
    <w:p w14:paraId="21E3D5ED" w14:textId="77777777" w:rsidR="00B76600" w:rsidRDefault="00B76600" w:rsidP="00B76600">
      <w:pPr>
        <w:widowControl w:val="0"/>
        <w:bidi/>
        <w:spacing w:after="0" w:line="244" w:lineRule="auto"/>
        <w:ind w:firstLine="284"/>
        <w:jc w:val="both"/>
        <w:rPr>
          <w:rFonts w:cs="Abz-2 (Badr)" w:hint="cs"/>
          <w:color w:val="0070C0"/>
          <w:sz w:val="28"/>
          <w:szCs w:val="28"/>
          <w:rtl/>
          <w:lang w:bidi="fa-IR"/>
        </w:rPr>
      </w:pPr>
      <w:r>
        <w:rPr>
          <w:rFonts w:cs="Abz-2 (Badr)" w:hint="cs"/>
          <w:color w:val="0070C0"/>
          <w:sz w:val="28"/>
          <w:szCs w:val="28"/>
          <w:rtl/>
          <w:lang w:bidi="fa-IR"/>
        </w:rPr>
        <w:t>وربما أوجب الشارع في بعض الكفّارات لكلّ‌ مسكين مدّين، فجمع في القول الثاني بين الأمرين بجعل المدّين على الموسر والمدّ على المعسر، وجعل المتوسّط بينهما، فألزم بمدّ ونصف.</w:t>
      </w:r>
    </w:p>
    <w:p w14:paraId="3C92B81E" w14:textId="77777777" w:rsidR="00B76600" w:rsidRDefault="00B76600" w:rsidP="00B76600">
      <w:pPr>
        <w:widowControl w:val="0"/>
        <w:bidi/>
        <w:spacing w:after="0" w:line="244" w:lineRule="auto"/>
        <w:ind w:firstLine="284"/>
        <w:jc w:val="both"/>
        <w:rPr>
          <w:rFonts w:cs="Abz-2 (Badr)" w:hint="cs"/>
          <w:color w:val="0070C0"/>
          <w:sz w:val="28"/>
          <w:szCs w:val="28"/>
          <w:rtl/>
          <w:lang w:bidi="fa-IR"/>
        </w:rPr>
      </w:pPr>
      <w:r>
        <w:rPr>
          <w:rFonts w:cs="Abz-2 (Badr)" w:hint="cs"/>
          <w:color w:val="0070C0"/>
          <w:sz w:val="28"/>
          <w:szCs w:val="28"/>
          <w:rtl/>
          <w:lang w:bidi="fa-IR"/>
        </w:rPr>
        <w:t>والأقوى ما اختاره المصنّف من عدم التقدير والرجوع إلى قدر الكفاية وسدّ الخلّة وهي الحاجة.»</w:t>
      </w:r>
      <w:r>
        <w:rPr>
          <w:rFonts w:cs="Abz-2 (Badr)"/>
          <w:color w:val="000000" w:themeColor="text1"/>
          <w:sz w:val="28"/>
          <w:szCs w:val="28"/>
          <w:vertAlign w:val="superscript"/>
          <w:rtl/>
          <w:lang w:bidi="fa-IR"/>
        </w:rPr>
        <w:footnoteReference w:id="11"/>
      </w:r>
    </w:p>
    <w:p w14:paraId="63AE3AA0" w14:textId="77777777" w:rsidR="00B76600" w:rsidRDefault="00B76600" w:rsidP="00B76600">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حق نيز در اين مسأله با مشهور است و وجهی برای تقدير نفقه وجود ندارد، بلکه برای اين مطلب بايد به متعارف مراجعه نمود و آنچه که در صحيحه شهاب آمده است ـ همان گونه که صاحب وسائل فرموده است ـ ناظر به عرف زمان صدور روايت بوده است و از باب تعبّد نيست.</w:t>
      </w:r>
    </w:p>
    <w:p w14:paraId="2E0C0343" w14:textId="77777777" w:rsidR="00B76600" w:rsidRDefault="00B76600" w:rsidP="00B76600">
      <w:pPr>
        <w:widowControl w:val="0"/>
        <w:bidi/>
        <w:spacing w:after="0" w:line="244" w:lineRule="auto"/>
        <w:ind w:firstLine="284"/>
        <w:jc w:val="both"/>
        <w:rPr>
          <w:rFonts w:cs="Abz-2 (Badr)" w:hint="cs"/>
          <w:color w:val="000000" w:themeColor="text1"/>
          <w:sz w:val="28"/>
          <w:szCs w:val="28"/>
          <w:rtl/>
          <w:lang w:bidi="fa-IR"/>
        </w:rPr>
      </w:pPr>
      <w:bookmarkStart w:id="1" w:name="_Hlk214274063"/>
      <w:r>
        <w:rPr>
          <w:rFonts w:cs="Abz-2 (Badr)" w:hint="cs"/>
          <w:color w:val="000000" w:themeColor="text1"/>
          <w:sz w:val="28"/>
          <w:szCs w:val="28"/>
          <w:rtl/>
          <w:lang w:bidi="fa-IR"/>
        </w:rPr>
        <w:t>مؤيد اين مطلب نيز اطلاقات اخباری است که در آنها فقط به صدق انفاق در تأمين حق زوجه بسنده شده است و يا اين که مقدار طعام بيش از آنچه که در صحيحه شهاب گذشت، در آنها ذکر شده است.</w:t>
      </w:r>
    </w:p>
    <w:p w14:paraId="1DE5F3D7" w14:textId="77777777" w:rsidR="00B76600" w:rsidRDefault="00B76600" w:rsidP="00B76600">
      <w:pPr>
        <w:widowControl w:val="0"/>
        <w:bidi/>
        <w:spacing w:after="0" w:line="244" w:lineRule="auto"/>
        <w:ind w:firstLine="284"/>
        <w:jc w:val="both"/>
        <w:rPr>
          <w:rFonts w:cs="Abz-2 (Badr)" w:hint="cs"/>
          <w:color w:val="70AD47" w:themeColor="accent6"/>
          <w:sz w:val="28"/>
          <w:szCs w:val="28"/>
          <w:rtl/>
          <w:lang w:bidi="fa-IR"/>
        </w:rPr>
      </w:pPr>
      <w:r>
        <w:rPr>
          <w:rFonts w:cs="Abz-2 (Badr)" w:hint="cs"/>
          <w:color w:val="000000" w:themeColor="text1"/>
          <w:sz w:val="28"/>
          <w:szCs w:val="28"/>
          <w:rtl/>
          <w:lang w:bidi="fa-IR"/>
        </w:rPr>
        <w:t xml:space="preserve">منها: موثّقة إسحاق بن عمّار، قال: </w:t>
      </w:r>
      <w:r>
        <w:rPr>
          <w:rFonts w:cs="Abz-2 (Badr)" w:hint="cs"/>
          <w:color w:val="70AD47" w:themeColor="accent6"/>
          <w:sz w:val="28"/>
          <w:szCs w:val="28"/>
          <w:rtl/>
          <w:lang w:bidi="fa-IR"/>
        </w:rPr>
        <w:t>«قلت لأبي عبدالله(ع): ما حقّ المرأة على زوجها الذي إذا فعله كان محسناً؟ قال: يشبعها ويكسوها، وإن جهلت غفر لها...»</w:t>
      </w:r>
      <w:r>
        <w:rPr>
          <w:rFonts w:cs="Abz-2 (Badr)"/>
          <w:color w:val="000000" w:themeColor="text1"/>
          <w:sz w:val="28"/>
          <w:szCs w:val="28"/>
          <w:vertAlign w:val="superscript"/>
          <w:rtl/>
          <w:lang w:bidi="fa-IR"/>
        </w:rPr>
        <w:footnoteReference w:id="12"/>
      </w:r>
    </w:p>
    <w:p w14:paraId="19C8320F" w14:textId="77777777" w:rsidR="00B76600" w:rsidRDefault="00B76600" w:rsidP="00B76600">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ومنها: خبر </w:t>
      </w:r>
      <w:r>
        <w:rPr>
          <w:rFonts w:cs="Abz-2 (Badr)" w:hint="cs"/>
          <w:color w:val="000000" w:themeColor="text1"/>
          <w:sz w:val="28"/>
          <w:szCs w:val="28"/>
          <w:rtl/>
          <w:lang w:bidi="ar"/>
        </w:rPr>
        <w:t xml:space="preserve">عمرو بن جبير العزرمي عن أبي عبدالله(ع)، قال: </w:t>
      </w:r>
      <w:r>
        <w:rPr>
          <w:rFonts w:cs="Abz-2 (Badr)" w:hint="cs"/>
          <w:color w:val="70AD47" w:themeColor="accent6"/>
          <w:sz w:val="28"/>
          <w:szCs w:val="28"/>
          <w:rtl/>
          <w:lang w:bidi="ar"/>
        </w:rPr>
        <w:t>«جاءت امرأة إلى النبيّ(ص) فسألته عن حقّ الزوج على المرأة فخبّرها ثمّ‌ قالت: فما حقّها عليه؟ قال: يكسوها من العُري ويطعمها من الجوع، وإن أذنبت غفر لها...»</w:t>
      </w:r>
      <w:r>
        <w:rPr>
          <w:rFonts w:cs="Abz-2 (Badr)"/>
          <w:color w:val="000000" w:themeColor="text1"/>
          <w:sz w:val="28"/>
          <w:szCs w:val="28"/>
          <w:vertAlign w:val="superscript"/>
          <w:rtl/>
          <w:lang w:bidi="fa-IR"/>
        </w:rPr>
        <w:footnoteReference w:id="13"/>
      </w:r>
    </w:p>
    <w:p w14:paraId="303530B5" w14:textId="77777777" w:rsidR="00B76600" w:rsidRDefault="00B76600" w:rsidP="00B76600">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ومنها: خبر </w:t>
      </w:r>
      <w:r>
        <w:rPr>
          <w:rFonts w:cs="Abz-2 (Badr)" w:hint="cs"/>
          <w:color w:val="000000" w:themeColor="text1"/>
          <w:sz w:val="28"/>
          <w:szCs w:val="28"/>
          <w:rtl/>
          <w:lang w:bidi="ar"/>
        </w:rPr>
        <w:t xml:space="preserve">يونس بن عمّار، قال: </w:t>
      </w:r>
      <w:r>
        <w:rPr>
          <w:rFonts w:cs="Abz-2 (Badr)" w:hint="cs"/>
          <w:color w:val="70AD47" w:themeColor="accent6"/>
          <w:sz w:val="28"/>
          <w:szCs w:val="28"/>
          <w:rtl/>
          <w:lang w:bidi="ar"/>
        </w:rPr>
        <w:t>«زوّجني أبو عبدالله(ع) جارية كانت لإسماعيل ابنه، فقال: أحسن إليها. فقلت: وما الإحسان إليها؟ فقال: أشبع بطنها واكسُ جثّتها واغفر ذنبها...»</w:t>
      </w:r>
      <w:r>
        <w:rPr>
          <w:rFonts w:cs="Abz-2 (Badr)"/>
          <w:color w:val="000000" w:themeColor="text1"/>
          <w:sz w:val="28"/>
          <w:szCs w:val="28"/>
          <w:vertAlign w:val="superscript"/>
          <w:rtl/>
          <w:lang w:bidi="fa-IR"/>
        </w:rPr>
        <w:footnoteReference w:id="14"/>
      </w:r>
    </w:p>
    <w:p w14:paraId="039A5FA2" w14:textId="77777777" w:rsidR="00B76600" w:rsidRDefault="00B76600" w:rsidP="00B76600">
      <w:pPr>
        <w:widowControl w:val="0"/>
        <w:bidi/>
        <w:spacing w:after="0"/>
        <w:ind w:firstLine="284"/>
        <w:jc w:val="both"/>
        <w:rPr>
          <w:rFonts w:cs="Abz-2 (Badr)" w:hint="cs"/>
          <w:color w:val="70AD47" w:themeColor="accent6"/>
          <w:sz w:val="28"/>
          <w:szCs w:val="28"/>
          <w:rtl/>
          <w:lang w:bidi="fa-IR"/>
        </w:rPr>
      </w:pPr>
      <w:r>
        <w:rPr>
          <w:rFonts w:cs="Abz-2 (Badr)" w:hint="cs"/>
          <w:color w:val="000000" w:themeColor="text1"/>
          <w:sz w:val="28"/>
          <w:szCs w:val="28"/>
          <w:rtl/>
          <w:lang w:bidi="fa-IR"/>
        </w:rPr>
        <w:lastRenderedPageBreak/>
        <w:t xml:space="preserve">ومنها: خبر </w:t>
      </w:r>
      <w:r>
        <w:rPr>
          <w:rFonts w:cs="Abz-2 (Badr)" w:hint="cs"/>
          <w:color w:val="000000" w:themeColor="text1"/>
          <w:sz w:val="28"/>
          <w:szCs w:val="28"/>
          <w:rtl/>
          <w:lang w:bidi="ar"/>
        </w:rPr>
        <w:t xml:space="preserve">زيد الشحّام عن أبي عبدالله(ع): </w:t>
      </w:r>
      <w:r>
        <w:rPr>
          <w:rFonts w:cs="Abz-2 (Badr)" w:hint="cs"/>
          <w:color w:val="70AD47" w:themeColor="accent6"/>
          <w:sz w:val="28"/>
          <w:szCs w:val="28"/>
          <w:rtl/>
          <w:lang w:bidi="ar"/>
        </w:rPr>
        <w:t>«...قال: أمّا نحن نَرزق عيالنا مدّين تمراً.»</w:t>
      </w:r>
      <w:r>
        <w:rPr>
          <w:rFonts w:cs="Abz-2 (Badr)"/>
          <w:color w:val="000000" w:themeColor="text1"/>
          <w:sz w:val="28"/>
          <w:szCs w:val="28"/>
          <w:vertAlign w:val="superscript"/>
          <w:rtl/>
          <w:lang w:bidi="fa-IR"/>
        </w:rPr>
        <w:footnoteReference w:id="15"/>
      </w:r>
    </w:p>
    <w:bookmarkEnd w:id="1"/>
    <w:p w14:paraId="54536F17" w14:textId="77777777" w:rsidR="00B76600" w:rsidRDefault="00B76600" w:rsidP="00B76600">
      <w:pPr>
        <w:widowControl w:val="0"/>
        <w:bidi/>
        <w:spacing w:after="0"/>
        <w:ind w:firstLine="284"/>
        <w:jc w:val="both"/>
        <w:rPr>
          <w:rFonts w:cs="Abz-2 (Badr)" w:hint="cs"/>
          <w:sz w:val="28"/>
          <w:szCs w:val="28"/>
          <w:rtl/>
          <w:lang w:bidi="fa-IR"/>
        </w:rPr>
      </w:pPr>
      <w:r>
        <w:rPr>
          <w:rFonts w:cs="Abz-2 (Badr)" w:hint="cs"/>
          <w:sz w:val="28"/>
          <w:szCs w:val="28"/>
          <w:rtl/>
          <w:lang w:bidi="fa-IR"/>
        </w:rPr>
        <w:t>اما بحث در خصوص جنس طعام و نظرات اعلام در اين خصوص را به جلسه آينده موکول می</w:t>
      </w:r>
      <w:r>
        <w:rPr>
          <w:rFonts w:cs="Abz-2 (Badr)" w:hint="cs"/>
          <w:sz w:val="28"/>
          <w:szCs w:val="28"/>
          <w:rtl/>
          <w:lang w:bidi="fa-IR"/>
        </w:rPr>
        <w:softHyphen/>
        <w:t>کنيم ان شاء الله.</w:t>
      </w:r>
    </w:p>
    <w:p w14:paraId="1FD9A9C3" w14:textId="77777777" w:rsidR="00B76600" w:rsidRDefault="00B76600" w:rsidP="00B76600">
      <w:pPr>
        <w:rPr>
          <w:rFonts w:cs="Abz-2 (Badr)" w:hint="cs"/>
          <w:sz w:val="28"/>
          <w:szCs w:val="28"/>
          <w:rtl/>
          <w:lang w:bidi="fa-IR"/>
        </w:rPr>
      </w:pPr>
      <w:r>
        <w:rPr>
          <w:rFonts w:cs="Abz-2 (Badr)" w:hint="cs"/>
          <w:sz w:val="28"/>
          <w:szCs w:val="28"/>
          <w:rtl/>
          <w:lang w:bidi="fa-IR"/>
        </w:rPr>
        <w:br w:type="page"/>
      </w:r>
    </w:p>
    <w:p w14:paraId="7C526099" w14:textId="77777777" w:rsidR="00B76600" w:rsidRDefault="00B76600" w:rsidP="00B76600">
      <w:pPr>
        <w:widowControl w:val="0"/>
        <w:bidi/>
        <w:spacing w:after="0" w:line="261" w:lineRule="auto"/>
        <w:ind w:firstLine="284"/>
        <w:jc w:val="both"/>
        <w:rPr>
          <w:rFonts w:cs="Abz-2 (Badr)" w:hint="cs"/>
          <w:color w:val="0070C0"/>
          <w:spacing w:val="-4"/>
          <w:sz w:val="28"/>
          <w:szCs w:val="28"/>
          <w:rtl/>
          <w:lang w:bidi="ar"/>
        </w:rPr>
      </w:pPr>
      <w:r>
        <w:rPr>
          <w:rFonts w:cs="Abz-2 (Badr)" w:hint="cs"/>
          <w:color w:val="000000" w:themeColor="text1"/>
          <w:spacing w:val="-4"/>
          <w:sz w:val="28"/>
          <w:szCs w:val="28"/>
          <w:rtl/>
        </w:rPr>
        <w:lastRenderedPageBreak/>
        <w:t>قال الشيخ في المبسوط في بيان ملاك الطعام الذي يدفع بعنوان النفقة للزوجة</w:t>
      </w:r>
      <w:r>
        <w:rPr>
          <w:rFonts w:cs="Abz-2 (Badr)" w:hint="cs"/>
          <w:color w:val="000000" w:themeColor="text1"/>
          <w:spacing w:val="-4"/>
          <w:sz w:val="28"/>
          <w:szCs w:val="28"/>
          <w:rtl/>
          <w:lang w:bidi="fa-IR"/>
        </w:rPr>
        <w:t xml:space="preserve">: </w:t>
      </w:r>
      <w:r>
        <w:rPr>
          <w:rFonts w:cs="Abz-2 (Badr)" w:hint="cs"/>
          <w:color w:val="0070C0"/>
          <w:spacing w:val="-4"/>
          <w:sz w:val="28"/>
          <w:szCs w:val="28"/>
          <w:rtl/>
          <w:lang w:bidi="fa-IR"/>
        </w:rPr>
        <w:t xml:space="preserve">«نفقة الزوجات معتبرة بحال الزوج لا بحالها، </w:t>
      </w:r>
      <w:r>
        <w:rPr>
          <w:rFonts w:cs="Abz-2 (Badr)" w:hint="cs"/>
          <w:color w:val="0070C0"/>
          <w:spacing w:val="-4"/>
          <w:sz w:val="28"/>
          <w:szCs w:val="28"/>
          <w:rtl/>
          <w:lang w:bidi="ar"/>
        </w:rPr>
        <w:t>فإن كان مؤسراً فعليه مدّان في كلّ يوم، وإن كان متوسّطاً متجمّلاً فعليه مدّ ونصف، وإن كان معسراً فقدر المدّ.</w:t>
      </w:r>
    </w:p>
    <w:p w14:paraId="7F50C7B6" w14:textId="77777777" w:rsidR="00B76600" w:rsidRDefault="00B76600" w:rsidP="00B76600">
      <w:pPr>
        <w:widowControl w:val="0"/>
        <w:bidi/>
        <w:spacing w:after="0" w:line="261" w:lineRule="auto"/>
        <w:ind w:firstLine="284"/>
        <w:jc w:val="both"/>
        <w:rPr>
          <w:rFonts w:cs="Abz-2 (Badr)" w:hint="cs"/>
          <w:color w:val="0070C0"/>
          <w:sz w:val="28"/>
          <w:szCs w:val="28"/>
          <w:rtl/>
          <w:lang w:bidi="ar"/>
        </w:rPr>
      </w:pPr>
      <w:r>
        <w:rPr>
          <w:rFonts w:cs="Abz-2 (Badr)" w:hint="cs"/>
          <w:color w:val="0070C0"/>
          <w:sz w:val="28"/>
          <w:szCs w:val="28"/>
          <w:rtl/>
          <w:lang w:bidi="ar"/>
        </w:rPr>
        <w:t>فالنفقات ثلاثة: نفقة المؤسر والمتوسّط والمعسر؛ وفيه خلاف.»</w:t>
      </w:r>
      <w:r>
        <w:rPr>
          <w:rFonts w:cs="Abz-2 (Badr)"/>
          <w:color w:val="000000" w:themeColor="text1"/>
          <w:sz w:val="28"/>
          <w:szCs w:val="28"/>
          <w:vertAlign w:val="superscript"/>
          <w:rtl/>
          <w:lang w:bidi="fa-IR"/>
        </w:rPr>
        <w:footnoteReference w:id="16"/>
      </w:r>
    </w:p>
    <w:p w14:paraId="590A9451" w14:textId="77777777" w:rsidR="00B76600" w:rsidRDefault="00B76600" w:rsidP="00B76600">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وأورد ابن البرّاج أيضاً مضمون هذا الكلام، غير أنّه حكاه بصيغة «قيل» عند ذكر التقدير</w:t>
      </w:r>
      <w:r>
        <w:rPr>
          <w:rFonts w:cs="Abz-2 (Badr)" w:hint="cs"/>
          <w:color w:val="000000" w:themeColor="text1"/>
          <w:sz w:val="28"/>
          <w:szCs w:val="28"/>
          <w:rtl/>
          <w:lang w:bidi="fa-IR"/>
        </w:rPr>
        <w:t>.</w:t>
      </w:r>
      <w:r>
        <w:rPr>
          <w:vertAlign w:val="superscript"/>
          <w:rtl/>
        </w:rPr>
        <w:footnoteReference w:id="17"/>
      </w:r>
    </w:p>
    <w:p w14:paraId="05E8C35E" w14:textId="77777777" w:rsidR="00B76600" w:rsidRDefault="00B76600" w:rsidP="00B76600">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ولکن قال الشيخ في الخلاف: </w:t>
      </w:r>
      <w:r>
        <w:rPr>
          <w:rFonts w:cs="Abz-2 (Badr)" w:hint="cs"/>
          <w:color w:val="0070C0"/>
          <w:sz w:val="28"/>
          <w:szCs w:val="28"/>
          <w:rtl/>
          <w:lang w:bidi="fa-IR"/>
        </w:rPr>
        <w:t>«</w:t>
      </w:r>
      <w:r>
        <w:rPr>
          <w:rFonts w:cs="Abz-2 (Badr)" w:hint="cs"/>
          <w:color w:val="0070C0"/>
          <w:sz w:val="28"/>
          <w:szCs w:val="28"/>
          <w:rtl/>
          <w:lang w:bidi="ar"/>
        </w:rPr>
        <w:t>نفقة الزوجات مقدّرة وهي مدّ قدره رطلان وربع.</w:t>
      </w:r>
    </w:p>
    <w:p w14:paraId="4D9B9BC1" w14:textId="77777777" w:rsidR="00B76600" w:rsidRDefault="00B76600" w:rsidP="00B76600">
      <w:pPr>
        <w:widowControl w:val="0"/>
        <w:bidi/>
        <w:spacing w:after="0" w:line="261" w:lineRule="auto"/>
        <w:ind w:firstLine="284"/>
        <w:jc w:val="both"/>
        <w:rPr>
          <w:rFonts w:cs="Abz-2 (Badr)" w:hint="cs"/>
          <w:color w:val="0070C0"/>
          <w:sz w:val="28"/>
          <w:szCs w:val="28"/>
          <w:rtl/>
          <w:lang w:bidi="ar"/>
        </w:rPr>
      </w:pPr>
      <w:r>
        <w:rPr>
          <w:rFonts w:cs="Abz-2 (Badr)" w:hint="cs"/>
          <w:color w:val="0070C0"/>
          <w:sz w:val="28"/>
          <w:szCs w:val="28"/>
          <w:rtl/>
          <w:lang w:bidi="ar"/>
        </w:rPr>
        <w:t>وقال الشافعي: نفقاتهنّ على ثلاثة أقسام: الاعتبار بالزوج إن كان مؤسراً فمدّان، وإن كان متوسّطاً فمدّ ونصف، وإن كان معسراً فمدّ واحد. والمدّ عنده رطل وثلث...</w:t>
      </w:r>
    </w:p>
    <w:p w14:paraId="65B31433" w14:textId="77777777" w:rsidR="00B76600" w:rsidRDefault="00B76600" w:rsidP="00B76600">
      <w:pPr>
        <w:widowControl w:val="0"/>
        <w:bidi/>
        <w:spacing w:after="0" w:line="261" w:lineRule="auto"/>
        <w:ind w:firstLine="284"/>
        <w:jc w:val="both"/>
        <w:rPr>
          <w:rFonts w:cs="Abz-2 (Badr)" w:hint="cs"/>
          <w:color w:val="0070C0"/>
          <w:sz w:val="28"/>
          <w:szCs w:val="28"/>
          <w:rtl/>
          <w:lang w:bidi="fa-IR"/>
        </w:rPr>
      </w:pPr>
      <w:r>
        <w:rPr>
          <w:rFonts w:cs="Abz-2 (Badr)" w:hint="cs"/>
          <w:color w:val="0070C0"/>
          <w:sz w:val="28"/>
          <w:szCs w:val="28"/>
          <w:rtl/>
          <w:lang w:bidi="ar"/>
        </w:rPr>
        <w:t>دليلنا: إجماع الفرقة وأخبارهم.»</w:t>
      </w:r>
      <w:r>
        <w:rPr>
          <w:rFonts w:cs="Abz-2 (Badr)"/>
          <w:color w:val="000000" w:themeColor="text1"/>
          <w:sz w:val="28"/>
          <w:szCs w:val="28"/>
          <w:vertAlign w:val="superscript"/>
          <w:rtl/>
          <w:lang w:bidi="fa-IR"/>
        </w:rPr>
        <w:footnoteReference w:id="18"/>
      </w:r>
    </w:p>
    <w:p w14:paraId="221AE79C" w14:textId="77777777" w:rsidR="00B76600" w:rsidRDefault="00B76600" w:rsidP="00B76600">
      <w:pPr>
        <w:widowControl w:val="0"/>
        <w:bidi/>
        <w:spacing w:after="0" w:line="261" w:lineRule="auto"/>
        <w:ind w:firstLine="284"/>
        <w:jc w:val="both"/>
        <w:rPr>
          <w:rFonts w:cs="Abz-2 (Badr)" w:hint="cs"/>
          <w:color w:val="000000" w:themeColor="text1"/>
          <w:sz w:val="28"/>
          <w:szCs w:val="28"/>
          <w:rtl/>
        </w:rPr>
      </w:pPr>
      <w:r>
        <w:rPr>
          <w:rFonts w:cs="Abz-2 (Badr)" w:hint="cs"/>
          <w:color w:val="000000" w:themeColor="text1"/>
          <w:sz w:val="28"/>
          <w:szCs w:val="28"/>
          <w:rtl/>
        </w:rPr>
        <w:t>فبمقتضى ما ذکره في الخلاف، يتبيّن أنّ مدّعاه في المبسوط موافق لرأي الشافعي، ولا دليل عليه.</w:t>
      </w:r>
    </w:p>
    <w:p w14:paraId="7D34018B" w14:textId="77777777" w:rsidR="00B76600" w:rsidRDefault="00B76600" w:rsidP="00B76600">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وامّا ما أفاده من كون مقدار المدّ منصوصاً، فإنّما هو ناظر إلى صحيحة شهاب</w:t>
      </w:r>
      <w:r>
        <w:rPr>
          <w:rFonts w:cs="Abz-2 (Badr)" w:hint="cs"/>
          <w:color w:val="000000" w:themeColor="text1"/>
          <w:sz w:val="28"/>
          <w:szCs w:val="28"/>
          <w:rtl/>
          <w:lang w:bidi="fa-IR"/>
        </w:rPr>
        <w:t>.</w:t>
      </w:r>
    </w:p>
    <w:p w14:paraId="4F2C2256" w14:textId="77777777" w:rsidR="00B76600" w:rsidRDefault="00B76600" w:rsidP="00B76600">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وفي مقابل هذا المدّعى، نقل العلامة عن ابن الجنيد ما هذا لفظه</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ابن الجنيد لم يقدّر، بل قال: وحقّ‌ المرأة على زوجها ما يسدّ جوعتها ويستر عورتها، هذا في الإقتار، والمتوسّط أن يكون يطعمها اللحم في كلّ‌ ثلاثة أيّام.»</w:t>
      </w:r>
      <w:r>
        <w:rPr>
          <w:rFonts w:cs="Abz-2 (Badr)"/>
          <w:color w:val="000000" w:themeColor="text1"/>
          <w:sz w:val="28"/>
          <w:szCs w:val="28"/>
          <w:vertAlign w:val="superscript"/>
          <w:rtl/>
          <w:lang w:bidi="fa-IR"/>
        </w:rPr>
        <w:footnoteReference w:id="19"/>
      </w:r>
    </w:p>
    <w:p w14:paraId="6B2E2C5C" w14:textId="77777777" w:rsidR="00B76600" w:rsidRDefault="00B76600" w:rsidP="00B76600">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 xml:space="preserve">وقال أيضاً ابن حمزة: </w:t>
      </w:r>
      <w:r>
        <w:rPr>
          <w:rFonts w:cs="Abz-2 (Badr)" w:hint="cs"/>
          <w:color w:val="0070C0"/>
          <w:sz w:val="28"/>
          <w:szCs w:val="28"/>
          <w:rtl/>
          <w:lang w:bidi="fa-IR"/>
        </w:rPr>
        <w:t>«</w:t>
      </w:r>
      <w:r>
        <w:rPr>
          <w:rFonts w:cs="Abz-2 (Badr)" w:hint="cs"/>
          <w:color w:val="0070C0"/>
          <w:sz w:val="28"/>
          <w:szCs w:val="28"/>
          <w:rtl/>
          <w:lang w:bidi="ar"/>
        </w:rPr>
        <w:t>الزوج ثلاثة أنواع: حرّ ومكاتب وعبد. والحرّ ثلاثة أنواع: مؤسر ومتوسّط ومعسر. والزوجة ثلاثة أنواع: حرّة شريفة، وغير شريفة، وأمة.</w:t>
      </w:r>
    </w:p>
    <w:p w14:paraId="6568AD92" w14:textId="77777777" w:rsidR="00B76600" w:rsidRDefault="00B76600" w:rsidP="00B76600">
      <w:pPr>
        <w:widowControl w:val="0"/>
        <w:bidi/>
        <w:spacing w:after="0" w:line="261" w:lineRule="auto"/>
        <w:ind w:firstLine="284"/>
        <w:jc w:val="both"/>
        <w:rPr>
          <w:rFonts w:cs="Abz-2 (Badr)" w:hint="cs"/>
          <w:color w:val="000000" w:themeColor="text1"/>
          <w:sz w:val="28"/>
          <w:szCs w:val="28"/>
          <w:rtl/>
          <w:lang w:bidi="fa-IR"/>
        </w:rPr>
      </w:pPr>
      <w:r>
        <w:rPr>
          <w:rFonts w:cs="Abz-2 (Badr)" w:hint="cs"/>
          <w:color w:val="0070C0"/>
          <w:sz w:val="28"/>
          <w:szCs w:val="28"/>
          <w:rtl/>
          <w:lang w:bidi="ar"/>
        </w:rPr>
        <w:t>فالمؤسر إذا تزوّج بشريفة ووجبت النفقة عليه، لزمه من الإطعام والإدام على حسب عادة البلد.»</w:t>
      </w:r>
      <w:r>
        <w:rPr>
          <w:rFonts w:cs="Abz-2 (Badr)"/>
          <w:color w:val="000000" w:themeColor="text1"/>
          <w:sz w:val="28"/>
          <w:szCs w:val="28"/>
          <w:vertAlign w:val="superscript"/>
          <w:rtl/>
          <w:lang w:bidi="fa-IR"/>
        </w:rPr>
        <w:footnoteReference w:id="20"/>
      </w:r>
    </w:p>
    <w:p w14:paraId="7BD7A675" w14:textId="77777777" w:rsidR="00B76600" w:rsidRDefault="00B76600" w:rsidP="00B76600">
      <w:pPr>
        <w:widowControl w:val="0"/>
        <w:bidi/>
        <w:spacing w:after="0" w:line="261" w:lineRule="auto"/>
        <w:ind w:firstLine="284"/>
        <w:jc w:val="both"/>
        <w:rPr>
          <w:rFonts w:cs="Abz-2 (Badr)" w:hint="cs"/>
          <w:color w:val="0070C0"/>
          <w:sz w:val="28"/>
          <w:szCs w:val="28"/>
          <w:rtl/>
        </w:rPr>
      </w:pPr>
      <w:r>
        <w:rPr>
          <w:rFonts w:cs="Abz-2 (Badr)" w:hint="cs"/>
          <w:color w:val="000000" w:themeColor="text1"/>
          <w:sz w:val="28"/>
          <w:szCs w:val="28"/>
          <w:rtl/>
          <w:lang w:bidi="fa-IR"/>
        </w:rPr>
        <w:t xml:space="preserve">کما قال ابن إدريس: </w:t>
      </w:r>
      <w:r>
        <w:rPr>
          <w:rFonts w:cs="Abz-2 (Badr)" w:hint="cs"/>
          <w:color w:val="0070C0"/>
          <w:sz w:val="28"/>
          <w:szCs w:val="28"/>
          <w:rtl/>
          <w:lang w:bidi="fa-IR"/>
        </w:rPr>
        <w:t>«</w:t>
      </w:r>
      <w:r>
        <w:rPr>
          <w:rFonts w:cs="Abz-2 (Badr)" w:hint="cs"/>
          <w:color w:val="0070C0"/>
          <w:sz w:val="28"/>
          <w:szCs w:val="28"/>
          <w:rtl/>
        </w:rPr>
        <w:t xml:space="preserve">نفقة الزوجات عندنا غير مقدّرة بلا خلاف، إلا من شيخنا أبي جعفر في مسائل خلافه، فإنّه </w:t>
      </w:r>
      <w:r>
        <w:rPr>
          <w:rFonts w:cs="Abz-2 (Badr)" w:hint="cs"/>
          <w:color w:val="0070C0"/>
          <w:sz w:val="28"/>
          <w:szCs w:val="28"/>
          <w:rtl/>
        </w:rPr>
        <w:lastRenderedPageBreak/>
        <w:t>ذهب إلى أنّها مقدّرة ومبلغها مدّ وقدره رطلان وربع، ثمّ استدل رحمه الله بإجماع الفرقة وأخبارهم.</w:t>
      </w:r>
    </w:p>
    <w:p w14:paraId="1B19D057" w14:textId="77777777" w:rsidR="00B76600" w:rsidRDefault="00B76600" w:rsidP="00B76600">
      <w:pPr>
        <w:widowControl w:val="0"/>
        <w:bidi/>
        <w:spacing w:after="0" w:line="244" w:lineRule="auto"/>
        <w:ind w:firstLine="284"/>
        <w:jc w:val="both"/>
        <w:rPr>
          <w:rFonts w:cs="Abz-2 (Badr)" w:hint="cs"/>
          <w:color w:val="0070C0"/>
          <w:sz w:val="28"/>
          <w:szCs w:val="28"/>
          <w:rtl/>
        </w:rPr>
      </w:pPr>
      <w:r>
        <w:rPr>
          <w:rFonts w:cs="Abz-2 (Badr)" w:hint="cs"/>
          <w:color w:val="0070C0"/>
          <w:sz w:val="28"/>
          <w:szCs w:val="28"/>
          <w:rtl/>
        </w:rPr>
        <w:t>وهذا عجيب منه رضي الله عنه، والسبر بيننا وبينه، فإنّ أخبارنا لم يرد منها خبر بتقدير نفقة.</w:t>
      </w:r>
    </w:p>
    <w:p w14:paraId="485A5A91" w14:textId="77777777" w:rsidR="00B76600" w:rsidRDefault="00B76600" w:rsidP="00B76600">
      <w:pPr>
        <w:widowControl w:val="0"/>
        <w:bidi/>
        <w:spacing w:after="0" w:line="244" w:lineRule="auto"/>
        <w:ind w:firstLine="284"/>
        <w:jc w:val="both"/>
        <w:rPr>
          <w:rFonts w:cs="Abz-2 (Badr)" w:hint="cs"/>
          <w:color w:val="0070C0"/>
          <w:sz w:val="28"/>
          <w:szCs w:val="28"/>
          <w:rtl/>
        </w:rPr>
      </w:pPr>
      <w:r>
        <w:rPr>
          <w:rFonts w:cs="Abz-2 (Badr)" w:hint="cs"/>
          <w:color w:val="0070C0"/>
          <w:sz w:val="28"/>
          <w:szCs w:val="28"/>
          <w:rtl/>
        </w:rPr>
        <w:t>وأمّا أصحابنا المصنّفون فما يوجد لأحد منهم في تصنيف له تقدير النفقة إلا من قلّده وتابعه أخيراً.</w:t>
      </w:r>
    </w:p>
    <w:p w14:paraId="4D515906" w14:textId="77777777" w:rsidR="00B76600" w:rsidRDefault="00B76600" w:rsidP="00B76600">
      <w:pPr>
        <w:widowControl w:val="0"/>
        <w:bidi/>
        <w:spacing w:after="0" w:line="244" w:lineRule="auto"/>
        <w:ind w:firstLine="284"/>
        <w:jc w:val="both"/>
        <w:rPr>
          <w:rFonts w:cs="Abz-2 (Badr)" w:hint="cs"/>
          <w:color w:val="0070C0"/>
          <w:sz w:val="28"/>
          <w:szCs w:val="28"/>
          <w:rtl/>
        </w:rPr>
      </w:pPr>
      <w:r>
        <w:rPr>
          <w:rFonts w:cs="Abz-2 (Badr)" w:hint="cs"/>
          <w:color w:val="0070C0"/>
          <w:sz w:val="28"/>
          <w:szCs w:val="28"/>
          <w:rtl/>
        </w:rPr>
        <w:t xml:space="preserve">والدليل على أصل المسألة قوله تعالى: </w:t>
      </w:r>
      <w:r>
        <w:rPr>
          <w:rFonts w:cs="QuranTaha" w:hint="cs"/>
          <w:color w:val="BF8F00" w:themeColor="accent4" w:themeShade="BF"/>
          <w:sz w:val="26"/>
          <w:szCs w:val="26"/>
          <w:rtl/>
        </w:rPr>
        <w:t>«وَعاشِرُوهُنَّ بِالْمَعْرُوفِ</w:t>
      </w:r>
      <w:r>
        <w:rPr>
          <w:rFonts w:cs="QuranTaha" w:hint="cs"/>
          <w:color w:val="BF8F00" w:themeColor="accent4" w:themeShade="BF"/>
          <w:sz w:val="26"/>
          <w:szCs w:val="26"/>
          <w:rtl/>
          <w:lang w:bidi="fa-IR"/>
        </w:rPr>
        <w:t>»</w:t>
      </w:r>
      <w:r>
        <w:rPr>
          <w:rFonts w:cs="Abz-2 (Badr)"/>
          <w:color w:val="000000" w:themeColor="text1"/>
          <w:sz w:val="28"/>
          <w:szCs w:val="28"/>
          <w:vertAlign w:val="superscript"/>
          <w:rtl/>
          <w:lang w:bidi="fa-IR"/>
        </w:rPr>
        <w:footnoteReference w:id="21"/>
      </w:r>
      <w:r>
        <w:rPr>
          <w:rFonts w:cs="Abz-2 (Badr)" w:hint="cs"/>
          <w:color w:val="0070C0"/>
          <w:sz w:val="28"/>
          <w:szCs w:val="28"/>
          <w:rtl/>
          <w:lang w:bidi="fa-IR"/>
        </w:rPr>
        <w:t xml:space="preserve">، </w:t>
      </w:r>
      <w:r>
        <w:rPr>
          <w:rFonts w:cs="Abz-2 (Badr)" w:hint="cs"/>
          <w:color w:val="0070C0"/>
          <w:sz w:val="28"/>
          <w:szCs w:val="28"/>
          <w:rtl/>
        </w:rPr>
        <w:t>أي بما يتعارف الناس. وأيضاً الأصل براءة الذمّة من التقدير، فمن ادّعى شيئاً بعينه فإنّه يحتاج إلى دليل، ولا دليل عليه من كتاب ولا سنّة ولا إجماع، والأصل براءة الذمّة.»</w:t>
      </w:r>
      <w:r>
        <w:rPr>
          <w:rFonts w:cs="Abz-2 (Badr)"/>
          <w:color w:val="000000" w:themeColor="text1"/>
          <w:sz w:val="28"/>
          <w:szCs w:val="28"/>
          <w:vertAlign w:val="superscript"/>
          <w:rtl/>
          <w:lang w:bidi="fa-IR"/>
        </w:rPr>
        <w:footnoteReference w:id="22"/>
      </w:r>
    </w:p>
    <w:p w14:paraId="44D107AE" w14:textId="77777777" w:rsidR="00B76600" w:rsidRDefault="00B76600" w:rsidP="00B76600">
      <w:pPr>
        <w:widowControl w:val="0"/>
        <w:bidi/>
        <w:spacing w:after="0" w:line="244" w:lineRule="auto"/>
        <w:ind w:firstLine="284"/>
        <w:jc w:val="both"/>
        <w:rPr>
          <w:rFonts w:cs="Abz-2 (Badr)" w:hint="cs"/>
          <w:color w:val="000000" w:themeColor="text1"/>
          <w:sz w:val="28"/>
          <w:szCs w:val="28"/>
          <w:rtl/>
        </w:rPr>
      </w:pPr>
      <w:r>
        <w:rPr>
          <w:rFonts w:cs="Abz-2 (Badr)" w:hint="cs"/>
          <w:color w:val="000000" w:themeColor="text1"/>
          <w:sz w:val="28"/>
          <w:szCs w:val="28"/>
          <w:rtl/>
        </w:rPr>
        <w:t>ولكن من المعلوم أنّ دعوى ابن إدريس بعدم ورود خبر يدلّ على تقدير النفقة، ناشئة عن عدم اطّلاعه على صحيحة شهاب.</w:t>
      </w:r>
    </w:p>
    <w:p w14:paraId="22208983" w14:textId="77777777" w:rsidR="00B76600" w:rsidRDefault="00B76600" w:rsidP="00B76600">
      <w:pPr>
        <w:widowControl w:val="0"/>
        <w:bidi/>
        <w:spacing w:after="0" w:line="244" w:lineRule="auto"/>
        <w:ind w:firstLine="284"/>
        <w:jc w:val="both"/>
        <w:rPr>
          <w:rFonts w:cs="Abz-2 (Badr)" w:hint="cs"/>
          <w:color w:val="0070C0"/>
          <w:sz w:val="28"/>
          <w:szCs w:val="28"/>
          <w:rtl/>
        </w:rPr>
      </w:pPr>
      <w:r>
        <w:rPr>
          <w:rFonts w:cs="Abz-2 (Badr)" w:hint="cs"/>
          <w:color w:val="000000" w:themeColor="text1"/>
          <w:sz w:val="28"/>
          <w:szCs w:val="28"/>
          <w:rtl/>
        </w:rPr>
        <w:t>ولهذا اعترض عليه العلامة في المختلف فقال</w:t>
      </w:r>
      <w:r>
        <w:rPr>
          <w:rFonts w:cs="Abz-2 (Badr)" w:hint="cs"/>
          <w:color w:val="000000" w:themeColor="text1"/>
          <w:sz w:val="28"/>
          <w:szCs w:val="28"/>
          <w:rtl/>
          <w:lang w:bidi="fa-IR"/>
        </w:rPr>
        <w:t xml:space="preserve">: </w:t>
      </w:r>
      <w:r>
        <w:rPr>
          <w:rFonts w:cs="Abz-2 (Badr)" w:hint="cs"/>
          <w:color w:val="0070C0"/>
          <w:sz w:val="28"/>
          <w:szCs w:val="28"/>
          <w:rtl/>
        </w:rPr>
        <w:t>«قول ابن إدريس وإن كان جيّداً، لكن نسبة الشيخ إلى قول ما ليس بحقّ‌ في غاية الجهل والحمق.»</w:t>
      </w:r>
      <w:r>
        <w:rPr>
          <w:rFonts w:cs="Abz-2 (Badr)"/>
          <w:color w:val="000000" w:themeColor="text1"/>
          <w:sz w:val="28"/>
          <w:szCs w:val="28"/>
          <w:vertAlign w:val="superscript"/>
          <w:rtl/>
          <w:lang w:bidi="fa-IR"/>
        </w:rPr>
        <w:footnoteReference w:id="23"/>
      </w:r>
    </w:p>
    <w:p w14:paraId="55481E43" w14:textId="77777777" w:rsidR="00B76600" w:rsidRDefault="00B76600" w:rsidP="00B76600">
      <w:pPr>
        <w:widowControl w:val="0"/>
        <w:bidi/>
        <w:spacing w:after="0" w:line="244" w:lineRule="auto"/>
        <w:ind w:firstLine="284"/>
        <w:jc w:val="both"/>
        <w:rPr>
          <w:rFonts w:cs="Abz-2 (Badr)" w:hint="cs"/>
          <w:color w:val="000000" w:themeColor="text1"/>
          <w:sz w:val="28"/>
          <w:szCs w:val="28"/>
          <w:rtl/>
          <w:lang w:bidi="fa-IR"/>
        </w:rPr>
      </w:pPr>
      <w:r>
        <w:rPr>
          <w:rFonts w:cs="Abz-2 (Badr)" w:hint="cs"/>
          <w:color w:val="000000" w:themeColor="text1"/>
          <w:sz w:val="28"/>
          <w:szCs w:val="28"/>
          <w:rtl/>
        </w:rPr>
        <w:t>وذكر صاحب الرياض أنّ عدم تقدير النفقة وإرجاعها إلى المتعارف هو الأشهر بين الأصحاب</w:t>
      </w:r>
      <w:r>
        <w:rPr>
          <w:rFonts w:cs="Abz-2 (Badr)" w:hint="cs"/>
          <w:color w:val="000000" w:themeColor="text1"/>
          <w:sz w:val="28"/>
          <w:szCs w:val="28"/>
          <w:vertAlign w:val="superscript"/>
          <w:rtl/>
          <w:lang w:bidi="fa-IR"/>
        </w:rPr>
        <w:t xml:space="preserve"> </w:t>
      </w:r>
      <w:r>
        <w:rPr>
          <w:rFonts w:cs="Abz-2 (Badr)"/>
          <w:color w:val="000000" w:themeColor="text1"/>
          <w:sz w:val="28"/>
          <w:szCs w:val="28"/>
          <w:vertAlign w:val="superscript"/>
          <w:rtl/>
          <w:lang w:bidi="fa-IR"/>
        </w:rPr>
        <w:footnoteReference w:id="24"/>
      </w:r>
      <w:r>
        <w:rPr>
          <w:rFonts w:cs="Abz-2 (Badr)" w:hint="cs"/>
          <w:color w:val="000000" w:themeColor="text1"/>
          <w:sz w:val="28"/>
          <w:szCs w:val="28"/>
          <w:rtl/>
          <w:lang w:bidi="fa-IR"/>
        </w:rPr>
        <w:t xml:space="preserve">، </w:t>
      </w:r>
      <w:r>
        <w:rPr>
          <w:rFonts w:cs="Abz-2 (Badr)" w:hint="cs"/>
          <w:color w:val="000000" w:themeColor="text1"/>
          <w:sz w:val="28"/>
          <w:szCs w:val="28"/>
          <w:rtl/>
        </w:rPr>
        <w:t>بل نسبه الفيض الكاشاني والمحقّق السبزواري إلى المشهور</w:t>
      </w:r>
      <w:r>
        <w:rPr>
          <w:rFonts w:cs="Abz-2 (Badr)" w:hint="cs"/>
          <w:color w:val="000000" w:themeColor="text1"/>
          <w:sz w:val="28"/>
          <w:szCs w:val="28"/>
          <w:vertAlign w:val="superscript"/>
          <w:rtl/>
          <w:lang w:bidi="fa-IR"/>
        </w:rPr>
        <w:t xml:space="preserve"> </w:t>
      </w:r>
      <w:r>
        <w:rPr>
          <w:rFonts w:cs="Abz-2 (Badr)"/>
          <w:color w:val="000000" w:themeColor="text1"/>
          <w:sz w:val="28"/>
          <w:szCs w:val="28"/>
          <w:vertAlign w:val="superscript"/>
          <w:rtl/>
          <w:lang w:bidi="fa-IR"/>
        </w:rPr>
        <w:footnoteReference w:id="25"/>
      </w:r>
      <w:r>
        <w:rPr>
          <w:rFonts w:cs="Abz-2 (Badr)" w:hint="cs"/>
          <w:color w:val="000000" w:themeColor="text1"/>
          <w:sz w:val="28"/>
          <w:szCs w:val="28"/>
          <w:rtl/>
          <w:lang w:bidi="fa-IR"/>
        </w:rPr>
        <w:t>.</w:t>
      </w:r>
    </w:p>
    <w:p w14:paraId="4ABDC89B" w14:textId="77777777" w:rsidR="00B76600" w:rsidRDefault="00B76600" w:rsidP="00B76600">
      <w:pPr>
        <w:widowControl w:val="0"/>
        <w:bidi/>
        <w:spacing w:after="0" w:line="244" w:lineRule="auto"/>
        <w:ind w:firstLine="284"/>
        <w:jc w:val="both"/>
        <w:rPr>
          <w:rFonts w:cs="Abz-2 (Badr)" w:hint="cs"/>
          <w:color w:val="0070C0"/>
          <w:sz w:val="28"/>
          <w:szCs w:val="28"/>
          <w:rtl/>
          <w:lang w:bidi="fa-IR"/>
        </w:rPr>
      </w:pPr>
      <w:r>
        <w:rPr>
          <w:rFonts w:cs="Abz-2 (Badr)" w:hint="cs"/>
          <w:color w:val="000000" w:themeColor="text1"/>
          <w:sz w:val="28"/>
          <w:szCs w:val="28"/>
          <w:rtl/>
          <w:lang w:bidi="fa-IR"/>
        </w:rPr>
        <w:t xml:space="preserve">وقال الشهيد ثانی بعد ذکر کلام الشيخ في الخلاف والمبسوط: </w:t>
      </w:r>
      <w:r>
        <w:rPr>
          <w:rFonts w:cs="Abz-2 (Badr)" w:hint="cs"/>
          <w:color w:val="0070C0"/>
          <w:sz w:val="28"/>
          <w:szCs w:val="28"/>
          <w:rtl/>
          <w:lang w:bidi="fa-IR"/>
        </w:rPr>
        <w:t>«الأصل في هذا التقدير أن المدّ قدّره الشارع في الكفّارات قوتاً للمسكين، فاعتبرت النفقة به، لأنّ كلّ‌ واحد منهما مال يجب بالشرع لأجل القوت ويستقرّ في الذمّة.</w:t>
      </w:r>
    </w:p>
    <w:p w14:paraId="6DC5BB19" w14:textId="77777777" w:rsidR="00B76600" w:rsidRDefault="00B76600" w:rsidP="00B76600">
      <w:pPr>
        <w:widowControl w:val="0"/>
        <w:bidi/>
        <w:spacing w:after="0" w:line="244" w:lineRule="auto"/>
        <w:ind w:firstLine="284"/>
        <w:jc w:val="both"/>
        <w:rPr>
          <w:rFonts w:cs="Abz-2 (Badr)" w:hint="cs"/>
          <w:color w:val="0070C0"/>
          <w:sz w:val="28"/>
          <w:szCs w:val="28"/>
          <w:rtl/>
          <w:lang w:bidi="fa-IR"/>
        </w:rPr>
      </w:pPr>
      <w:r>
        <w:rPr>
          <w:rFonts w:cs="Abz-2 (Badr)" w:hint="cs"/>
          <w:color w:val="0070C0"/>
          <w:sz w:val="28"/>
          <w:szCs w:val="28"/>
          <w:rtl/>
          <w:lang w:bidi="fa-IR"/>
        </w:rPr>
        <w:t>وربما أوجب الشارع في بعض الكفّارات لكلّ‌ مسكين مدّين، فجمع في القول الثاني بين الأمرين بجعل المدّين على الموسر والمدّ على المعسر، وجعل المتوسّط بينهما، فألزم بمدّ ونصف.</w:t>
      </w:r>
    </w:p>
    <w:p w14:paraId="55A79149" w14:textId="77777777" w:rsidR="00B76600" w:rsidRDefault="00B76600" w:rsidP="00B76600">
      <w:pPr>
        <w:widowControl w:val="0"/>
        <w:bidi/>
        <w:spacing w:after="0" w:line="244" w:lineRule="auto"/>
        <w:ind w:firstLine="284"/>
        <w:jc w:val="both"/>
        <w:rPr>
          <w:rFonts w:cs="Abz-2 (Badr)" w:hint="cs"/>
          <w:color w:val="0070C0"/>
          <w:sz w:val="28"/>
          <w:szCs w:val="28"/>
          <w:rtl/>
          <w:lang w:bidi="fa-IR"/>
        </w:rPr>
      </w:pPr>
      <w:r>
        <w:rPr>
          <w:rFonts w:cs="Abz-2 (Badr)" w:hint="cs"/>
          <w:color w:val="0070C0"/>
          <w:sz w:val="28"/>
          <w:szCs w:val="28"/>
          <w:rtl/>
          <w:lang w:bidi="fa-IR"/>
        </w:rPr>
        <w:t>والأقوى ما اختاره المصنّف من عدم التقدير والرجوع إلى قدر الكفاية وسدّ الخلّة وهي الحاجة.»</w:t>
      </w:r>
      <w:r>
        <w:rPr>
          <w:rFonts w:cs="Abz-2 (Badr)"/>
          <w:color w:val="000000" w:themeColor="text1"/>
          <w:sz w:val="28"/>
          <w:szCs w:val="28"/>
          <w:vertAlign w:val="superscript"/>
          <w:rtl/>
          <w:lang w:bidi="fa-IR"/>
        </w:rPr>
        <w:footnoteReference w:id="26"/>
      </w:r>
    </w:p>
    <w:p w14:paraId="187D8A3E" w14:textId="77777777" w:rsidR="00B76600" w:rsidRDefault="00B76600" w:rsidP="00B76600">
      <w:pPr>
        <w:widowControl w:val="0"/>
        <w:bidi/>
        <w:spacing w:after="0"/>
        <w:ind w:firstLine="284"/>
        <w:jc w:val="both"/>
        <w:rPr>
          <w:rFonts w:cs="Abz-2 (Badr)" w:hint="cs"/>
          <w:sz w:val="28"/>
          <w:szCs w:val="28"/>
          <w:rtl/>
          <w:lang w:bidi="fa-IR"/>
        </w:rPr>
      </w:pPr>
      <w:r>
        <w:rPr>
          <w:rFonts w:cs="Abz-2 (Badr)" w:hint="cs"/>
          <w:sz w:val="28"/>
          <w:szCs w:val="28"/>
          <w:rtl/>
        </w:rPr>
        <w:lastRenderedPageBreak/>
        <w:t>والحقّ مع المشهور في هذه المسألة، إذ لا وجه لتقدير النفقة، بل لابّد فيها من الرجوع الى المتعارف. وما ورد في صحيحة شهاب ـ كما ذكره صاحب الوسائل ـ إنّما هو ناظر إلى عرف زمان صدور الرواية وليس من باب التعبّد</w:t>
      </w:r>
      <w:r>
        <w:rPr>
          <w:rFonts w:cs="Abz-2 (Badr)" w:hint="cs"/>
          <w:sz w:val="28"/>
          <w:szCs w:val="28"/>
          <w:rtl/>
          <w:lang w:bidi="fa-IR"/>
        </w:rPr>
        <w:t>.</w:t>
      </w:r>
    </w:p>
    <w:p w14:paraId="232D3581" w14:textId="77777777" w:rsidR="00B76600" w:rsidRDefault="00B76600" w:rsidP="00B76600">
      <w:pPr>
        <w:widowControl w:val="0"/>
        <w:bidi/>
        <w:spacing w:after="0"/>
        <w:ind w:firstLine="284"/>
        <w:jc w:val="both"/>
        <w:rPr>
          <w:rFonts w:cs="Abz-2 (Badr)" w:hint="cs"/>
          <w:sz w:val="28"/>
          <w:szCs w:val="28"/>
          <w:rtl/>
        </w:rPr>
      </w:pPr>
      <w:r>
        <w:rPr>
          <w:rFonts w:cs="Abz-2 (Badr)" w:hint="cs"/>
          <w:sz w:val="28"/>
          <w:szCs w:val="28"/>
          <w:rtl/>
        </w:rPr>
        <w:t>ويؤيّد ذلك اطلاقات الأخبار التي اكتفت في إثبات حقّ الزوجة بمجرّد صدق الإنفاق، أو تلك التي ذكرت مقداراً للطعام أكثر ممّا ورد في صحيحة شهاب.</w:t>
      </w:r>
    </w:p>
    <w:p w14:paraId="186A6C8F" w14:textId="77777777" w:rsidR="00B76600" w:rsidRDefault="00B76600" w:rsidP="00B76600">
      <w:pPr>
        <w:widowControl w:val="0"/>
        <w:bidi/>
        <w:spacing w:after="0" w:line="244" w:lineRule="auto"/>
        <w:ind w:firstLine="284"/>
        <w:jc w:val="both"/>
        <w:rPr>
          <w:rFonts w:cs="Abz-2 (Badr)" w:hint="cs"/>
          <w:color w:val="70AD47" w:themeColor="accent6"/>
          <w:sz w:val="28"/>
          <w:szCs w:val="28"/>
          <w:rtl/>
          <w:lang w:bidi="fa-IR"/>
        </w:rPr>
      </w:pPr>
      <w:r>
        <w:rPr>
          <w:rFonts w:cs="Abz-2 (Badr)" w:hint="cs"/>
          <w:color w:val="000000" w:themeColor="text1"/>
          <w:sz w:val="28"/>
          <w:szCs w:val="28"/>
          <w:rtl/>
          <w:lang w:bidi="fa-IR"/>
        </w:rPr>
        <w:t xml:space="preserve">منها: موثّقة إسحاق بن عمّار، قال: </w:t>
      </w:r>
      <w:r>
        <w:rPr>
          <w:rFonts w:cs="Abz-2 (Badr)" w:hint="cs"/>
          <w:color w:val="70AD47" w:themeColor="accent6"/>
          <w:sz w:val="28"/>
          <w:szCs w:val="28"/>
          <w:rtl/>
          <w:lang w:bidi="fa-IR"/>
        </w:rPr>
        <w:t>«قلت لأبي عبدالله(ع): ما حقّ المرأة على زوجها الذي إذا فعله كان محسناً؟ قال: يشبعها ويكسوها، وإن جهلت غفر لها...»</w:t>
      </w:r>
      <w:r>
        <w:rPr>
          <w:rFonts w:cs="Abz-2 (Badr)"/>
          <w:color w:val="000000" w:themeColor="text1"/>
          <w:sz w:val="28"/>
          <w:szCs w:val="28"/>
          <w:vertAlign w:val="superscript"/>
          <w:rtl/>
          <w:lang w:bidi="fa-IR"/>
        </w:rPr>
        <w:footnoteReference w:id="27"/>
      </w:r>
    </w:p>
    <w:p w14:paraId="45D3637E" w14:textId="77777777" w:rsidR="00B76600" w:rsidRDefault="00B76600" w:rsidP="00B76600">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ومنها: خبر </w:t>
      </w:r>
      <w:r>
        <w:rPr>
          <w:rFonts w:cs="Abz-2 (Badr)" w:hint="cs"/>
          <w:color w:val="000000" w:themeColor="text1"/>
          <w:sz w:val="28"/>
          <w:szCs w:val="28"/>
          <w:rtl/>
          <w:lang w:bidi="ar"/>
        </w:rPr>
        <w:t xml:space="preserve">عمرو بن جبير العزرمي عن أبي عبدالله(ع)، قال: </w:t>
      </w:r>
      <w:r>
        <w:rPr>
          <w:rFonts w:cs="Abz-2 (Badr)" w:hint="cs"/>
          <w:color w:val="70AD47" w:themeColor="accent6"/>
          <w:sz w:val="28"/>
          <w:szCs w:val="28"/>
          <w:rtl/>
          <w:lang w:bidi="ar"/>
        </w:rPr>
        <w:t>«جاءت امرأة إلى النبيّ(ص) فسألته عن حقّ الزوج على المرأة فخبّرها ثمّ‌ قالت: فما حقّها عليه؟ قال: يكسوها من العُري ويطعمها من الجوع، وإن أذنبت غفر لها...»</w:t>
      </w:r>
      <w:r>
        <w:rPr>
          <w:rFonts w:cs="Abz-2 (Badr)"/>
          <w:color w:val="000000" w:themeColor="text1"/>
          <w:sz w:val="28"/>
          <w:szCs w:val="28"/>
          <w:vertAlign w:val="superscript"/>
          <w:rtl/>
          <w:lang w:bidi="fa-IR"/>
        </w:rPr>
        <w:footnoteReference w:id="28"/>
      </w:r>
    </w:p>
    <w:p w14:paraId="599CC5CB" w14:textId="77777777" w:rsidR="00B76600" w:rsidRDefault="00B76600" w:rsidP="00B76600">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ومنها: خبر </w:t>
      </w:r>
      <w:r>
        <w:rPr>
          <w:rFonts w:cs="Abz-2 (Badr)" w:hint="cs"/>
          <w:color w:val="000000" w:themeColor="text1"/>
          <w:sz w:val="28"/>
          <w:szCs w:val="28"/>
          <w:rtl/>
          <w:lang w:bidi="ar"/>
        </w:rPr>
        <w:t xml:space="preserve">يونس بن عمّار، قال: </w:t>
      </w:r>
      <w:r>
        <w:rPr>
          <w:rFonts w:cs="Abz-2 (Badr)" w:hint="cs"/>
          <w:color w:val="70AD47" w:themeColor="accent6"/>
          <w:sz w:val="28"/>
          <w:szCs w:val="28"/>
          <w:rtl/>
          <w:lang w:bidi="ar"/>
        </w:rPr>
        <w:t>«زوّجني أبو عبدالله(ع) جارية كانت لإسماعيل ابنه، فقال: أحسن إليها. فقلت: وما الإحسان إليها؟ فقال: أشبع بطنها واكسُ جثّتها واغفر ذنبها...»</w:t>
      </w:r>
      <w:r>
        <w:rPr>
          <w:rFonts w:cs="Abz-2 (Badr)"/>
          <w:color w:val="000000" w:themeColor="text1"/>
          <w:sz w:val="28"/>
          <w:szCs w:val="28"/>
          <w:vertAlign w:val="superscript"/>
          <w:rtl/>
          <w:lang w:bidi="fa-IR"/>
        </w:rPr>
        <w:footnoteReference w:id="29"/>
      </w:r>
    </w:p>
    <w:p w14:paraId="6E5CE199" w14:textId="77777777" w:rsidR="00B76600" w:rsidRDefault="00B76600" w:rsidP="00B76600">
      <w:pPr>
        <w:widowControl w:val="0"/>
        <w:bidi/>
        <w:spacing w:after="0"/>
        <w:ind w:firstLine="284"/>
        <w:jc w:val="both"/>
        <w:rPr>
          <w:rFonts w:cs="Abz-2 (Badr)" w:hint="cs"/>
          <w:color w:val="70AD47" w:themeColor="accent6"/>
          <w:sz w:val="28"/>
          <w:szCs w:val="28"/>
          <w:rtl/>
          <w:lang w:bidi="fa-IR"/>
        </w:rPr>
      </w:pPr>
      <w:r>
        <w:rPr>
          <w:rFonts w:cs="Abz-2 (Badr)" w:hint="cs"/>
          <w:color w:val="000000" w:themeColor="text1"/>
          <w:sz w:val="28"/>
          <w:szCs w:val="28"/>
          <w:rtl/>
          <w:lang w:bidi="fa-IR"/>
        </w:rPr>
        <w:t xml:space="preserve">ومنها: خبر </w:t>
      </w:r>
      <w:r>
        <w:rPr>
          <w:rFonts w:cs="Abz-2 (Badr)" w:hint="cs"/>
          <w:color w:val="000000" w:themeColor="text1"/>
          <w:sz w:val="28"/>
          <w:szCs w:val="28"/>
          <w:rtl/>
          <w:lang w:bidi="ar"/>
        </w:rPr>
        <w:t xml:space="preserve">زيد الشحّام عن أبي عبدالله(ع): </w:t>
      </w:r>
      <w:r>
        <w:rPr>
          <w:rFonts w:cs="Abz-2 (Badr)" w:hint="cs"/>
          <w:color w:val="70AD47" w:themeColor="accent6"/>
          <w:sz w:val="28"/>
          <w:szCs w:val="28"/>
          <w:rtl/>
          <w:lang w:bidi="ar"/>
        </w:rPr>
        <w:t>«...قال: أمّا نحن نَرزق عيالنا مدّين تمراً.»</w:t>
      </w:r>
      <w:r>
        <w:rPr>
          <w:rFonts w:cs="Abz-2 (Badr)"/>
          <w:color w:val="000000" w:themeColor="text1"/>
          <w:sz w:val="28"/>
          <w:szCs w:val="28"/>
          <w:vertAlign w:val="superscript"/>
          <w:rtl/>
          <w:lang w:bidi="fa-IR"/>
        </w:rPr>
        <w:footnoteReference w:id="30"/>
      </w:r>
    </w:p>
    <w:p w14:paraId="7C479726" w14:textId="77777777" w:rsidR="00B76600" w:rsidRDefault="00B76600" w:rsidP="00B76600">
      <w:pPr>
        <w:widowControl w:val="0"/>
        <w:bidi/>
        <w:spacing w:after="0"/>
        <w:ind w:firstLine="284"/>
        <w:jc w:val="both"/>
        <w:rPr>
          <w:rFonts w:cs="Abz-2 (Badr)" w:hint="cs"/>
          <w:sz w:val="28"/>
          <w:szCs w:val="28"/>
          <w:rtl/>
          <w:lang w:bidi="fa-IR"/>
        </w:rPr>
      </w:pPr>
      <w:r>
        <w:rPr>
          <w:rFonts w:cs="Abz-2 (Badr)" w:hint="cs"/>
          <w:sz w:val="28"/>
          <w:szCs w:val="28"/>
          <w:rtl/>
        </w:rPr>
        <w:t>وأمّا تفصيل الكلام في جنس الطعام وما ورد فيه من آراء الأعلام، فسيأتي في الجلسة الآتية إن شاء الله تعالى</w:t>
      </w:r>
      <w:r>
        <w:rPr>
          <w:rFonts w:cs="Abz-2 (Badr)" w:hint="cs"/>
          <w:sz w:val="28"/>
          <w:szCs w:val="28"/>
          <w:rtl/>
          <w:lang w:bidi="fa-IR"/>
        </w:rPr>
        <w:t>.</w:t>
      </w:r>
    </w:p>
    <w:bookmarkEnd w:id="0"/>
    <w:p w14:paraId="617E94A6" w14:textId="77777777" w:rsidR="00B76600" w:rsidRDefault="00B76600" w:rsidP="00B76600">
      <w:pPr>
        <w:widowControl w:val="0"/>
        <w:bidi/>
        <w:spacing w:after="0"/>
        <w:ind w:firstLine="284"/>
        <w:jc w:val="both"/>
        <w:rPr>
          <w:rFonts w:cs="Abz-2 (Badr)" w:hint="cs"/>
          <w:sz w:val="28"/>
          <w:szCs w:val="28"/>
          <w:rtl/>
          <w:lang w:bidi="fa-IR"/>
        </w:rPr>
      </w:pPr>
    </w:p>
    <w:p w14:paraId="2AD04477" w14:textId="7D63A4A4" w:rsidR="00B706A3" w:rsidRPr="00B76600" w:rsidRDefault="00B706A3" w:rsidP="00B76600">
      <w:pPr>
        <w:rPr>
          <w:rtl/>
        </w:rPr>
      </w:pPr>
    </w:p>
    <w:sectPr w:rsidR="00B706A3" w:rsidRPr="00B76600"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CF2A6" w14:textId="77777777" w:rsidR="007B78B7" w:rsidRDefault="007B78B7" w:rsidP="00F71127">
      <w:pPr>
        <w:spacing w:after="0" w:line="240" w:lineRule="auto"/>
      </w:pPr>
      <w:r>
        <w:separator/>
      </w:r>
    </w:p>
  </w:endnote>
  <w:endnote w:type="continuationSeparator" w:id="0">
    <w:p w14:paraId="41ECF752" w14:textId="77777777" w:rsidR="007B78B7" w:rsidRDefault="007B78B7"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2404" w14:textId="77777777" w:rsidR="008D24B2" w:rsidRDefault="008D2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9C83" w14:textId="77777777" w:rsidR="008D24B2" w:rsidRDefault="008D2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5A7BC" w14:textId="77777777" w:rsidR="007B78B7" w:rsidRDefault="007B78B7" w:rsidP="00EE25C0">
      <w:pPr>
        <w:bidi/>
        <w:spacing w:after="0" w:line="240" w:lineRule="auto"/>
      </w:pPr>
      <w:r>
        <w:separator/>
      </w:r>
    </w:p>
  </w:footnote>
  <w:footnote w:type="continuationSeparator" w:id="0">
    <w:p w14:paraId="1A72C302" w14:textId="77777777" w:rsidR="007B78B7" w:rsidRDefault="007B78B7" w:rsidP="00F71127">
      <w:pPr>
        <w:bidi/>
        <w:spacing w:after="0" w:line="240" w:lineRule="auto"/>
      </w:pPr>
      <w:r>
        <w:continuationSeparator/>
      </w:r>
    </w:p>
  </w:footnote>
  <w:footnote w:id="1">
    <w:p w14:paraId="50198A48"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مبسوط،ج6،ص6 و 7.</w:t>
      </w:r>
    </w:p>
  </w:footnote>
  <w:footnote w:id="2">
    <w:p w14:paraId="7EDACE29"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المهذّب،ج2،ص345.</w:t>
      </w:r>
    </w:p>
  </w:footnote>
  <w:footnote w:id="3">
    <w:p w14:paraId="2B23EB37"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خلاف،ج5،ص112.</w:t>
      </w:r>
    </w:p>
  </w:footnote>
  <w:footnote w:id="4">
    <w:p w14:paraId="1C035B40"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مختلف،ج7،ص319.</w:t>
      </w:r>
    </w:p>
  </w:footnote>
  <w:footnote w:id="5">
    <w:p w14:paraId="47D0578D"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وسيله،ص285.</w:t>
      </w:r>
    </w:p>
  </w:footnote>
  <w:footnote w:id="6">
    <w:p w14:paraId="1EBBA9FF"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نساء(4):19.</w:t>
      </w:r>
    </w:p>
  </w:footnote>
  <w:footnote w:id="7">
    <w:p w14:paraId="20755316"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سرائر،ج2،ص655.</w:t>
      </w:r>
    </w:p>
  </w:footnote>
  <w:footnote w:id="8">
    <w:p w14:paraId="5001365A"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مختلف،ج7،ص320.</w:t>
      </w:r>
    </w:p>
  </w:footnote>
  <w:footnote w:id="9">
    <w:p w14:paraId="598EFFD9"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رياض،ج12،ص184.</w:t>
      </w:r>
    </w:p>
  </w:footnote>
  <w:footnote w:id="10">
    <w:p w14:paraId="5DFA09E9"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مفاتيح،ج2،ص179 ـ کفاية الفقه،ج2،ص301.</w:t>
      </w:r>
    </w:p>
  </w:footnote>
  <w:footnote w:id="11">
    <w:p w14:paraId="5C5B26EE"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w:t>
      </w:r>
      <w:r>
        <w:rPr>
          <w:rFonts w:cs="Abz-2 (Badr)" w:hint="cs"/>
          <w:rtl/>
          <w:lang w:bidi="fa-IR"/>
        </w:rPr>
        <w:t xml:space="preserve"> الأفهام،ج8،ص456 و 457</w:t>
      </w:r>
      <w:r>
        <w:rPr>
          <w:rFonts w:cs="Abz-2 (Badr)" w:hint="cs"/>
          <w:rtl/>
        </w:rPr>
        <w:t>.</w:t>
      </w:r>
    </w:p>
  </w:footnote>
  <w:footnote w:id="12">
    <w:p w14:paraId="2FF158E5"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کافی،ج5،ص510 و 511،ح1 ـ وسائل الشيعة، الباب 1 من أبواب النفقات،ح5،ج21،ص511.</w:t>
      </w:r>
    </w:p>
  </w:footnote>
  <w:footnote w:id="13">
    <w:p w14:paraId="58EC1A43"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کافی،ج5،ص511،ح2 ـ وسائل الشيعة، الباب 1 من أبواب النفقات،ح7،ج21،ص511.</w:t>
      </w:r>
    </w:p>
  </w:footnote>
  <w:footnote w:id="14">
    <w:p w14:paraId="74B86AB5"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کافی،ج5،ص511،ح4 ـ وسائل الشيعة، الباب 1 من أبواب النفقات،ح8،ج21،ص511.</w:t>
      </w:r>
    </w:p>
  </w:footnote>
  <w:footnote w:id="15">
    <w:p w14:paraId="61E290F2"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من لا يحضره الفقيه،ج3،ص146،ح3536 ـ وسائل الشيعة، الباب 1 من أبواب النفقات،ح11،ج21،ص512.</w:t>
      </w:r>
    </w:p>
  </w:footnote>
  <w:footnote w:id="16">
    <w:p w14:paraId="4BDF8308"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المبسوط،ج6،ص6 و 7.</w:t>
      </w:r>
    </w:p>
  </w:footnote>
  <w:footnote w:id="17">
    <w:p w14:paraId="58B2B20E"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المهذّب،ج2،ص345.</w:t>
      </w:r>
    </w:p>
  </w:footnote>
  <w:footnote w:id="18">
    <w:p w14:paraId="5A65AF5B"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الخلاف،ج5،ص112.</w:t>
      </w:r>
    </w:p>
  </w:footnote>
  <w:footnote w:id="19">
    <w:p w14:paraId="0A0521F5"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مختلف الشيعة،ج7،ص319.</w:t>
      </w:r>
    </w:p>
  </w:footnote>
  <w:footnote w:id="20">
    <w:p w14:paraId="01F47D10"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الوسيلة،ص285.</w:t>
      </w:r>
    </w:p>
  </w:footnote>
  <w:footnote w:id="21">
    <w:p w14:paraId="1B6E861D"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النساء(4):19.</w:t>
      </w:r>
    </w:p>
  </w:footnote>
  <w:footnote w:id="22">
    <w:p w14:paraId="7A1BBBF5"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کتاب السرائر،ج2،ص655.</w:t>
      </w:r>
    </w:p>
  </w:footnote>
  <w:footnote w:id="23">
    <w:p w14:paraId="1506AA68"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مختلف الشيعة،ج7،ص320.</w:t>
      </w:r>
    </w:p>
  </w:footnote>
  <w:footnote w:id="24">
    <w:p w14:paraId="3BC409C2"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رياض المسائل،ج12،ص184.</w:t>
      </w:r>
    </w:p>
  </w:footnote>
  <w:footnote w:id="25">
    <w:p w14:paraId="6AB7373C"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مفاتيح الشرائع،ج2،ص179 ـ کفاية الفقه،ج2،ص301.</w:t>
      </w:r>
    </w:p>
  </w:footnote>
  <w:footnote w:id="26">
    <w:p w14:paraId="11CED7E2"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مسالك</w:t>
      </w:r>
      <w:r>
        <w:rPr>
          <w:rFonts w:cs="Abz-2 (Badr)" w:hint="cs"/>
          <w:rtl/>
          <w:lang w:bidi="fa-IR"/>
        </w:rPr>
        <w:t xml:space="preserve"> الأفهام،ج8،ص456 و 457</w:t>
      </w:r>
      <w:r>
        <w:rPr>
          <w:rFonts w:cs="Abz-2 (Badr)" w:hint="cs"/>
          <w:rtl/>
        </w:rPr>
        <w:t>.</w:t>
      </w:r>
    </w:p>
  </w:footnote>
  <w:footnote w:id="27">
    <w:p w14:paraId="473CBFD5"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الکافي،ج5،ص510 و 511،ح1 ـ وسائل الشيعة، الباب 1 من أبواب النفقات،ح5،ج21،ص511.</w:t>
      </w:r>
    </w:p>
  </w:footnote>
  <w:footnote w:id="28">
    <w:p w14:paraId="00983A34"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الکافي،ج5،ص511،ح2 ـ وسائل الشيعة، الباب 1 من أبواب النفقات،ح7،ج21،ص511.</w:t>
      </w:r>
    </w:p>
  </w:footnote>
  <w:footnote w:id="29">
    <w:p w14:paraId="6AFD9EFA"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الکافي،ج5،ص511،ح4 ـ وسائل الشيعة، الباب 1 من أبواب النفقات،ح8،ج21،ص511.</w:t>
      </w:r>
    </w:p>
  </w:footnote>
  <w:footnote w:id="30">
    <w:p w14:paraId="1EC8BE9B" w14:textId="77777777" w:rsidR="00B76600" w:rsidRDefault="00B76600" w:rsidP="00B76600">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من لا يحضره الفقيه،ج3،ص146،ح3536 ـ وسائل الشيعة، الباب 1 من أبواب النفقات،ح11،ج21،ص512.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C26F" w14:textId="77777777" w:rsidR="008D24B2" w:rsidRDefault="008D2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435A8F33"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6600">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B76600">
                            <w:rPr>
                              <w:rFonts w:cs="B Mehr" w:hint="cs"/>
                              <w:rtl/>
                              <w:lang w:bidi="fa-IR"/>
                            </w:rPr>
                            <w:t>27</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3F96BF3F" w14:textId="435A8F33" w:rsidR="005D7224" w:rsidRDefault="005D7224" w:rsidP="005D7224">
                    <w:pPr>
                      <w:bidi/>
                    </w:pPr>
                    <w:r>
                      <w:rPr>
                        <w:rFonts w:cs="B Mehr" w:hint="cs"/>
                        <w:rtl/>
                      </w:rPr>
                      <w:t xml:space="preserve">تاریخ: </w:t>
                    </w:r>
                    <w:r w:rsidR="00273A50">
                      <w:rPr>
                        <w:rFonts w:cs="B Mehr" w:hint="cs"/>
                        <w:rtl/>
                        <w:lang w:bidi="fa-IR"/>
                      </w:rPr>
                      <w:t xml:space="preserve"> </w:t>
                    </w:r>
                    <w:r w:rsidR="002E7166">
                      <w:rPr>
                        <w:rFonts w:cs="B Mehr" w:hint="cs"/>
                        <w:rtl/>
                        <w:lang w:bidi="fa-IR"/>
                      </w:rPr>
                      <w:t xml:space="preserve">  </w:t>
                    </w:r>
                    <w:r w:rsidR="00516E95">
                      <w:rPr>
                        <w:rFonts w:cs="B Mehr"/>
                        <w:lang w:bidi="fa-IR"/>
                      </w:rPr>
                      <w:t xml:space="preserve"> </w:t>
                    </w:r>
                    <w:r w:rsidR="001F7B61">
                      <w:rPr>
                        <w:rFonts w:cs="B Mehr" w:hint="cs"/>
                        <w:rtl/>
                        <w:lang w:bidi="fa-IR"/>
                      </w:rPr>
                      <w:t xml:space="preserve"> </w:t>
                    </w:r>
                    <w:r w:rsidR="00B76600">
                      <w:rPr>
                        <w:rFonts w:cs="B Mehr" w:hint="cs"/>
                        <w:rtl/>
                        <w:lang w:bidi="fa-IR"/>
                      </w:rPr>
                      <w:t xml:space="preserve">سه </w:t>
                    </w:r>
                    <w:r w:rsidR="00A835C9">
                      <w:rPr>
                        <w:rFonts w:cs="B Mehr" w:hint="cs"/>
                        <w:rtl/>
                        <w:lang w:bidi="fa-IR"/>
                      </w:rPr>
                      <w:t>شنبه</w:t>
                    </w:r>
                    <w:r>
                      <w:rPr>
                        <w:rFonts w:cs="B Mehr" w:hint="cs"/>
                        <w:rtl/>
                        <w:lang w:bidi="fa-IR"/>
                      </w:rPr>
                      <w:t xml:space="preserve"> </w:t>
                    </w:r>
                    <w:r>
                      <w:rPr>
                        <w:rFonts w:cs="B Mehr" w:hint="cs"/>
                        <w:rtl/>
                      </w:rPr>
                      <w:t xml:space="preserve">،   </w:t>
                    </w:r>
                    <w:r w:rsidR="00B76600">
                      <w:rPr>
                        <w:rFonts w:cs="B Mehr" w:hint="cs"/>
                        <w:rtl/>
                        <w:lang w:bidi="fa-IR"/>
                      </w:rPr>
                      <w:t>27</w:t>
                    </w:r>
                    <w:r w:rsidR="00C64E5C">
                      <w:rPr>
                        <w:rFonts w:cs="B Mehr" w:hint="cs"/>
                        <w:rtl/>
                        <w:lang w:bidi="fa-IR"/>
                      </w:rPr>
                      <w:t xml:space="preserve"> </w:t>
                    </w:r>
                    <w:r w:rsidR="00A1665A">
                      <w:rPr>
                        <w:rFonts w:cs="B Mehr" w:hint="cs"/>
                        <w:rtl/>
                        <w:lang w:bidi="fa-IR"/>
                      </w:rPr>
                      <w:t xml:space="preserve"> آبان ماه</w:t>
                    </w:r>
                    <w:r>
                      <w:rPr>
                        <w:rFonts w:cs="B Mehr" w:hint="cs"/>
                        <w:rtl/>
                      </w:rPr>
                      <w:t xml:space="preserve">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414B" w14:textId="77777777" w:rsidR="008D24B2" w:rsidRDefault="008D24B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668</cp:revision>
  <cp:lastPrinted>2025-04-14T09:12:00Z</cp:lastPrinted>
  <dcterms:created xsi:type="dcterms:W3CDTF">2022-10-16T08:36:00Z</dcterms:created>
  <dcterms:modified xsi:type="dcterms:W3CDTF">2025-11-23T07:29:00Z</dcterms:modified>
</cp:coreProperties>
</file>