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06864" w14:textId="77777777" w:rsidR="00FC4937" w:rsidRDefault="00FC4937" w:rsidP="00FC4937">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1DC1A969" w14:textId="77777777" w:rsidR="00FC4937" w:rsidRDefault="00FC4937" w:rsidP="00FC4937">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298CD5F8" w14:textId="77777777" w:rsidR="00FC4937" w:rsidRDefault="00FC4937" w:rsidP="00FC4937">
      <w:pPr>
        <w:widowControl w:val="0"/>
        <w:bidi/>
        <w:spacing w:after="0"/>
        <w:jc w:val="center"/>
        <w:rPr>
          <w:rFonts w:cs="B Mitra" w:hint="cs"/>
          <w:b/>
          <w:bCs/>
          <w:sz w:val="32"/>
          <w:szCs w:val="32"/>
          <w:rtl/>
          <w:lang w:bidi="fa-IR"/>
        </w:rPr>
      </w:pPr>
      <w:r>
        <w:rPr>
          <w:rFonts w:cs="B Mitra" w:hint="cs"/>
          <w:b/>
          <w:bCs/>
          <w:sz w:val="32"/>
          <w:szCs w:val="32"/>
          <w:rtl/>
          <w:lang w:bidi="fa-IR"/>
        </w:rPr>
        <w:t>جلسه 868</w:t>
      </w:r>
    </w:p>
    <w:p w14:paraId="1AF9671C" w14:textId="77777777" w:rsidR="00FC4937" w:rsidRDefault="00FC4937" w:rsidP="00FC4937">
      <w:pPr>
        <w:widowControl w:val="0"/>
        <w:bidi/>
        <w:spacing w:after="0"/>
        <w:ind w:firstLine="284"/>
        <w:jc w:val="both"/>
        <w:rPr>
          <w:rFonts w:cs="Abz-2 (Badr)" w:hint="cs"/>
          <w:sz w:val="28"/>
          <w:szCs w:val="28"/>
          <w:rtl/>
          <w:lang w:bidi="fa-IR"/>
        </w:rPr>
      </w:pPr>
      <w:bookmarkStart w:id="0" w:name="_Hlk159096966"/>
    </w:p>
    <w:bookmarkEnd w:id="0"/>
    <w:p w14:paraId="6CF552BE" w14:textId="77777777" w:rsidR="00FC4937" w:rsidRDefault="00FC4937" w:rsidP="00FC4937">
      <w:pPr>
        <w:widowControl w:val="0"/>
        <w:bidi/>
        <w:spacing w:after="0" w:line="252" w:lineRule="auto"/>
        <w:ind w:left="1701"/>
        <w:jc w:val="both"/>
        <w:rPr>
          <w:rFonts w:cs="Abz-2 (Badr)" w:hint="cs"/>
          <w:color w:val="00B050"/>
          <w:sz w:val="28"/>
          <w:szCs w:val="28"/>
          <w:rtl/>
          <w:lang w:bidi="fa-IR"/>
        </w:rPr>
      </w:pPr>
      <w:r>
        <w:rPr>
          <w:rFonts w:cs="Abz-2 (Badr)" w:hint="cs"/>
          <w:color w:val="00B050"/>
          <w:sz w:val="28"/>
          <w:szCs w:val="28"/>
          <w:rtl/>
          <w:lang w:bidi="ar"/>
        </w:rPr>
        <w:t>قال المحقّق الحلّي: «وفي الحامل المتوفّى عنها زوجها روايتان؛ أشهرهما أنّه لا نفقة لها، والأُخرى ينفق عليها من نصيب ولدها.</w:t>
      </w:r>
    </w:p>
    <w:p w14:paraId="1A743E5C" w14:textId="77777777" w:rsidR="00FC4937" w:rsidRDefault="00FC4937" w:rsidP="00FC4937">
      <w:pPr>
        <w:widowControl w:val="0"/>
        <w:bidi/>
        <w:spacing w:after="0" w:line="252" w:lineRule="auto"/>
        <w:ind w:left="1701"/>
        <w:jc w:val="both"/>
        <w:rPr>
          <w:rFonts w:cs="Abz-2 (Badr)"/>
          <w:color w:val="0070C0"/>
          <w:sz w:val="28"/>
          <w:szCs w:val="28"/>
          <w:lang w:bidi="fa-IR"/>
        </w:rPr>
      </w:pPr>
      <w:r>
        <w:rPr>
          <w:rFonts w:cs="Abz-2 (Badr)" w:hint="cs"/>
          <w:color w:val="00B050"/>
          <w:sz w:val="28"/>
          <w:szCs w:val="28"/>
          <w:rtl/>
          <w:lang w:bidi="ar"/>
        </w:rPr>
        <w:t>وتثبت النفقة للزوجة، مسلمة كانت أو ذمّيّة أو أمة.»</w:t>
      </w:r>
      <w:r>
        <w:rPr>
          <w:rStyle w:val="FootnoteReference"/>
          <w:rFonts w:cs="Abz-2 (Badr)"/>
          <w:color w:val="000000" w:themeColor="text1"/>
          <w:sz w:val="28"/>
          <w:szCs w:val="28"/>
          <w:rtl/>
          <w:lang w:bidi="ar"/>
        </w:rPr>
        <w:footnoteReference w:id="1"/>
      </w:r>
    </w:p>
    <w:p w14:paraId="7889024C"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fa-IR"/>
        </w:rPr>
      </w:pPr>
    </w:p>
    <w:p w14:paraId="3B2A0443"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خصوص نفقه زن حاملی که زوج او از دنيا رفته باشد، دو قول در بين اصحاب وجود دارد:</w:t>
      </w:r>
    </w:p>
    <w:p w14:paraId="55F2527C" w14:textId="77777777" w:rsidR="00FC4937" w:rsidRDefault="00FC4937" w:rsidP="00FC4937">
      <w:pPr>
        <w:widowControl w:val="0"/>
        <w:bidi/>
        <w:spacing w:after="0" w:line="240" w:lineRule="auto"/>
        <w:ind w:firstLine="284"/>
        <w:jc w:val="both"/>
        <w:rPr>
          <w:rFonts w:cs="Abz-2 (Badr)" w:hint="cs"/>
          <w:color w:val="7030A0"/>
          <w:sz w:val="28"/>
          <w:szCs w:val="28"/>
          <w:rtl/>
          <w:lang w:bidi="fa-IR"/>
        </w:rPr>
      </w:pPr>
      <w:r>
        <w:rPr>
          <w:rFonts w:cs="Abz-2 (Badr)" w:hint="cs"/>
          <w:color w:val="7030A0"/>
          <w:sz w:val="28"/>
          <w:szCs w:val="28"/>
          <w:rtl/>
          <w:lang w:bidi="fa-IR"/>
        </w:rPr>
        <w:t>قول اول: وجوب نفقه از سهم حمل از ارث</w:t>
      </w:r>
    </w:p>
    <w:p w14:paraId="4C533836"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صدوق در من لا يحضر بعد از نقل اخباری که در خصوص نفقه حاملی که زوج او از دنيا رفته است وارد شده</w:t>
      </w:r>
      <w:r>
        <w:rPr>
          <w:rFonts w:cs="Abz-2 (Badr)" w:hint="cs"/>
          <w:color w:val="000000" w:themeColor="text1"/>
          <w:sz w:val="28"/>
          <w:szCs w:val="28"/>
          <w:rtl/>
          <w:lang w:bidi="fa-IR"/>
        </w:rPr>
        <w:softHyphen/>
        <w:t>اند،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«والذي نفتي به رواية الکناني»</w:t>
      </w:r>
      <w:r>
        <w:rPr>
          <w:rStyle w:val="FootnoteReference"/>
          <w:rFonts w:cs="Abz-2 (Badr)"/>
          <w:color w:val="000000" w:themeColor="text1"/>
          <w:sz w:val="28"/>
          <w:szCs w:val="28"/>
          <w:rtl/>
          <w:lang w:bidi="ar"/>
        </w:rPr>
        <w:footnoteReference w:id="2"/>
      </w:r>
      <w:r>
        <w:rPr>
          <w:rFonts w:cs="Abz-2 (Badr)" w:hint="cs"/>
          <w:color w:val="000000" w:themeColor="text1"/>
          <w:sz w:val="28"/>
          <w:szCs w:val="28"/>
          <w:rtl/>
          <w:lang w:bidi="fa-IR"/>
        </w:rPr>
        <w:t xml:space="preserve"> و مضمون اين روايت همان گونه که خواهد آمد ان شاء الله، اين است که زن مستحق نفقه از سهم الارث فرزند خود است.</w:t>
      </w:r>
    </w:p>
    <w:p w14:paraId="2FA04F4D" w14:textId="77777777" w:rsidR="00FC4937" w:rsidRDefault="00FC4937" w:rsidP="00FC4937">
      <w:pPr>
        <w:widowControl w:val="0"/>
        <w:bidi/>
        <w:spacing w:after="0" w:line="240" w:lineRule="auto"/>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علامه در مختلف اين قول را به ابن جنيد و صدوق در مقنع نيز نسبت داده است</w:t>
      </w:r>
      <w:r>
        <w:rPr>
          <w:rStyle w:val="FootnoteReference"/>
          <w:rFonts w:cs="Abz-2 (Badr)"/>
          <w:color w:val="000000" w:themeColor="text1"/>
          <w:spacing w:val="-4"/>
          <w:sz w:val="28"/>
          <w:szCs w:val="28"/>
          <w:rtl/>
          <w:lang w:bidi="ar"/>
        </w:rPr>
        <w:footnoteReference w:id="3"/>
      </w:r>
      <w:r>
        <w:rPr>
          <w:rFonts w:cs="Abz-2 (Badr)" w:hint="cs"/>
          <w:color w:val="000000" w:themeColor="text1"/>
          <w:spacing w:val="-4"/>
          <w:sz w:val="28"/>
          <w:szCs w:val="28"/>
          <w:rtl/>
          <w:lang w:bidi="fa-IR"/>
        </w:rPr>
        <w:t>، ولی در مقنع صدوق چنين قولی ندارد.</w:t>
      </w:r>
    </w:p>
    <w:p w14:paraId="340F1517"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شيخ نيز در نهايه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لا نفقة للتي مات عنها زوجها من تركة الرجل. فإن كانت حاملاً أُنفق عليها من نصيب ولدها الذي في بطنها.»</w:t>
      </w:r>
      <w:r>
        <w:rPr>
          <w:rStyle w:val="FootnoteReference"/>
          <w:rFonts w:cs="Abz-2 (Badr)"/>
          <w:color w:val="000000" w:themeColor="text1"/>
          <w:sz w:val="28"/>
          <w:szCs w:val="28"/>
          <w:rtl/>
          <w:lang w:bidi="ar"/>
        </w:rPr>
        <w:footnoteReference w:id="4"/>
      </w:r>
    </w:p>
    <w:p w14:paraId="41A8DE36"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 xml:space="preserve">حلبی نيز فرموده است: </w:t>
      </w:r>
      <w:r>
        <w:rPr>
          <w:rFonts w:cs="Abz-2 (Badr)" w:hint="cs"/>
          <w:color w:val="0070C0"/>
          <w:sz w:val="28"/>
          <w:szCs w:val="28"/>
          <w:rtl/>
          <w:lang w:bidi="fa-IR"/>
        </w:rPr>
        <w:t>«</w:t>
      </w:r>
      <w:r>
        <w:rPr>
          <w:rFonts w:cs="Abz-2 (Badr)" w:hint="cs"/>
          <w:color w:val="0070C0"/>
          <w:sz w:val="28"/>
          <w:szCs w:val="28"/>
          <w:rtl/>
          <w:lang w:bidi="ar"/>
        </w:rPr>
        <w:t>إذا كانت المتوفّى عنها زوجها حاملاً، أُنفق عليها من مال ولدها حتّى تضع.»</w:t>
      </w:r>
      <w:r>
        <w:rPr>
          <w:rStyle w:val="FootnoteReference"/>
          <w:rFonts w:cs="Abz-2 (Badr)"/>
          <w:color w:val="000000" w:themeColor="text1"/>
          <w:sz w:val="28"/>
          <w:szCs w:val="28"/>
          <w:rtl/>
          <w:lang w:bidi="ar"/>
        </w:rPr>
        <w:footnoteReference w:id="5"/>
      </w:r>
    </w:p>
    <w:p w14:paraId="066182B4"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ابن براج، ابن زهره و ابن حمزه نيز اين قول را پذيرفته</w:t>
      </w:r>
      <w:r>
        <w:rPr>
          <w:rFonts w:cs="Abz-2 (Badr)" w:hint="cs"/>
          <w:color w:val="000000" w:themeColor="text1"/>
          <w:sz w:val="28"/>
          <w:szCs w:val="28"/>
          <w:rtl/>
          <w:lang w:bidi="fa-IR"/>
        </w:rPr>
        <w:softHyphen/>
        <w:t>اند.</w:t>
      </w:r>
      <w:r>
        <w:rPr>
          <w:rStyle w:val="FootnoteReference"/>
          <w:rFonts w:cs="Abz-2 (Badr)"/>
          <w:color w:val="000000" w:themeColor="text1"/>
          <w:sz w:val="28"/>
          <w:szCs w:val="28"/>
          <w:rtl/>
          <w:lang w:bidi="ar"/>
        </w:rPr>
        <w:footnoteReference w:id="6"/>
      </w:r>
    </w:p>
    <w:p w14:paraId="65DFF8FF" w14:textId="77777777" w:rsidR="00FC4937" w:rsidRDefault="00FC4937" w:rsidP="00FC4937">
      <w:pPr>
        <w:widowControl w:val="0"/>
        <w:bidi/>
        <w:spacing w:after="0" w:line="240" w:lineRule="auto"/>
        <w:ind w:firstLine="284"/>
        <w:jc w:val="both"/>
        <w:rPr>
          <w:rFonts w:cs="Abz-2 (Badr)" w:hint="cs"/>
          <w:color w:val="7030A0"/>
          <w:sz w:val="28"/>
          <w:szCs w:val="28"/>
          <w:rtl/>
          <w:lang w:bidi="fa-IR"/>
        </w:rPr>
      </w:pPr>
      <w:r>
        <w:rPr>
          <w:rFonts w:cs="Abz-2 (Badr)" w:hint="cs"/>
          <w:color w:val="7030A0"/>
          <w:sz w:val="28"/>
          <w:szCs w:val="28"/>
          <w:rtl/>
          <w:lang w:bidi="fa-IR"/>
        </w:rPr>
        <w:t>قول دوم: عدم وجوب نفقه</w:t>
      </w:r>
    </w:p>
    <w:p w14:paraId="5C604506" w14:textId="77777777" w:rsidR="00FC4937" w:rsidRDefault="00FC4937" w:rsidP="00FC4937">
      <w:pPr>
        <w:widowControl w:val="0"/>
        <w:bidi/>
        <w:spacing w:after="0" w:line="240" w:lineRule="auto"/>
        <w:ind w:firstLine="284"/>
        <w:jc w:val="both"/>
        <w:rPr>
          <w:rFonts w:cs="Abz-2 (Badr)" w:hint="cs"/>
          <w:color w:val="0070C0"/>
          <w:sz w:val="28"/>
          <w:szCs w:val="28"/>
          <w:rtl/>
          <w:lang w:bidi="ar"/>
        </w:rPr>
      </w:pPr>
      <w:r>
        <w:rPr>
          <w:rFonts w:cs="Abz-2 (Badr)" w:hint="cs"/>
          <w:color w:val="000000" w:themeColor="text1"/>
          <w:sz w:val="28"/>
          <w:szCs w:val="28"/>
          <w:rtl/>
          <w:lang w:bidi="fa-IR"/>
        </w:rPr>
        <w:t>شيخ در مبسوط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المتوفّى عنها زوجها لا نفقة لها، حاملاً كانت أو حائلاً، بلا خلاف. وقال بعض الصحابة: إنّها إذا كانت حاملاً كان لها النفقة.</w:t>
      </w:r>
    </w:p>
    <w:p w14:paraId="7444D0B7" w14:textId="77777777" w:rsidR="00FC4937" w:rsidRDefault="00FC4937" w:rsidP="00FC4937">
      <w:pPr>
        <w:widowControl w:val="0"/>
        <w:bidi/>
        <w:spacing w:after="0" w:line="240" w:lineRule="auto"/>
        <w:ind w:firstLine="284"/>
        <w:jc w:val="both"/>
        <w:rPr>
          <w:rFonts w:cs="Abz-2 (Badr)" w:hint="cs"/>
          <w:color w:val="0070C0"/>
          <w:sz w:val="28"/>
          <w:szCs w:val="28"/>
          <w:rtl/>
          <w:lang w:bidi="fa-IR"/>
        </w:rPr>
      </w:pPr>
      <w:r>
        <w:rPr>
          <w:rFonts w:cs="Abz-2 (Badr)" w:hint="cs"/>
          <w:color w:val="0070C0"/>
          <w:sz w:val="28"/>
          <w:szCs w:val="28"/>
          <w:rtl/>
          <w:lang w:bidi="ar"/>
        </w:rPr>
        <w:t>وروى أصحابنا أنّ لها النفقة إذا كانت حاملاً من نصيب ولدها الذي في بطنها.»</w:t>
      </w:r>
      <w:r>
        <w:rPr>
          <w:rStyle w:val="FootnoteReference"/>
          <w:rFonts w:cs="Abz-2 (Badr)"/>
          <w:color w:val="000000" w:themeColor="text1"/>
          <w:sz w:val="28"/>
          <w:szCs w:val="28"/>
          <w:rtl/>
          <w:lang w:bidi="ar"/>
        </w:rPr>
        <w:footnoteReference w:id="7"/>
      </w:r>
    </w:p>
    <w:p w14:paraId="0F07FF02"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خلاف نيز نظير چنين مطلبی را فرموده و دليل آن را اصل و اجماع اصحاب برشمرده است.</w:t>
      </w:r>
      <w:r>
        <w:rPr>
          <w:rStyle w:val="FootnoteReference"/>
          <w:rFonts w:cs="Abz-2 (Badr)"/>
          <w:color w:val="000000" w:themeColor="text1"/>
          <w:sz w:val="28"/>
          <w:szCs w:val="28"/>
          <w:rtl/>
          <w:lang w:bidi="ar"/>
        </w:rPr>
        <w:footnoteReference w:id="8"/>
      </w:r>
    </w:p>
    <w:p w14:paraId="40CEB363" w14:textId="77777777" w:rsidR="00FC4937" w:rsidRDefault="00FC4937" w:rsidP="00FC4937">
      <w:pPr>
        <w:widowControl w:val="0"/>
        <w:bidi/>
        <w:spacing w:after="0" w:line="252" w:lineRule="auto"/>
        <w:ind w:firstLine="284"/>
        <w:jc w:val="both"/>
        <w:rPr>
          <w:rFonts w:cs="Abz-2 (Badr)" w:hint="cs"/>
          <w:color w:val="0070C0"/>
          <w:sz w:val="28"/>
          <w:szCs w:val="28"/>
          <w:rtl/>
        </w:rPr>
      </w:pPr>
      <w:r>
        <w:rPr>
          <w:rFonts w:cs="Abz-2 (Badr)" w:hint="cs"/>
          <w:color w:val="000000" w:themeColor="text1"/>
          <w:sz w:val="28"/>
          <w:szCs w:val="28"/>
          <w:rtl/>
          <w:lang w:bidi="fa-IR"/>
        </w:rPr>
        <w:t>البته ابن ادريس از اين کلام شيخ اين گونه برداشت کرده است که آنچه ايشان در خصوص اين مسأله در مبسوط و خلاف فرموده است و بر آن ادعای هدم خلاف يا اجماع نموده است، عدم استحقاق چنين زوجه</w:t>
      </w:r>
      <w:r>
        <w:rPr>
          <w:rFonts w:cs="Abz-2 (Badr)" w:hint="cs"/>
          <w:color w:val="000000" w:themeColor="text1"/>
          <w:sz w:val="28"/>
          <w:szCs w:val="28"/>
          <w:rtl/>
          <w:lang w:bidi="fa-IR"/>
        </w:rPr>
        <w:softHyphen/>
        <w:t>ای برای دريافت نفقه از اصل ما ترک زوج متوفی است، وگرنه دريافت نفقه از سهم فرزند از ما ترک مورد قبول شيخ می</w:t>
      </w:r>
      <w:r>
        <w:rPr>
          <w:rFonts w:cs="Abz-2 (Badr)" w:hint="cs"/>
          <w:color w:val="000000" w:themeColor="text1"/>
          <w:sz w:val="28"/>
          <w:szCs w:val="28"/>
          <w:rtl/>
          <w:lang w:bidi="fa-IR"/>
        </w:rPr>
        <w:softHyphen/>
        <w:t>باشد؛ فلذا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rPr>
        <w:t>ذهب إليه شيخنا أبو جعفر، في جميع كتبه.</w:t>
      </w:r>
    </w:p>
    <w:p w14:paraId="54C4B7A1" w14:textId="77777777" w:rsidR="00FC4937" w:rsidRDefault="00FC4937" w:rsidP="00FC4937">
      <w:pPr>
        <w:widowControl w:val="0"/>
        <w:bidi/>
        <w:spacing w:after="0" w:line="252" w:lineRule="auto"/>
        <w:ind w:firstLine="284"/>
        <w:jc w:val="both"/>
        <w:rPr>
          <w:rFonts w:cs="Abz-2 (Badr)" w:hint="cs"/>
          <w:color w:val="0070C0"/>
          <w:sz w:val="28"/>
          <w:szCs w:val="28"/>
          <w:rtl/>
        </w:rPr>
      </w:pPr>
      <w:r>
        <w:rPr>
          <w:rFonts w:cs="Abz-2 (Badr)" w:hint="cs"/>
          <w:color w:val="0070C0"/>
          <w:sz w:val="28"/>
          <w:szCs w:val="28"/>
          <w:rtl/>
        </w:rPr>
        <w:t>والذي يقوى في نفسي و يقتضيه أُصول مذهبنا، أن لا ينفق عليها من المال المعزول، لأنّ الإنفاق حكم شرعي يحتاج إلى دليل شرعي، والأصل أن لا إنفاق.</w:t>
      </w:r>
    </w:p>
    <w:p w14:paraId="19C56D16" w14:textId="77777777" w:rsidR="00FC4937" w:rsidRDefault="00FC4937" w:rsidP="00FC4937">
      <w:pPr>
        <w:widowControl w:val="0"/>
        <w:bidi/>
        <w:spacing w:after="0" w:line="252" w:lineRule="auto"/>
        <w:ind w:firstLine="284"/>
        <w:jc w:val="both"/>
        <w:rPr>
          <w:rFonts w:cs="Abz-2 (Badr)" w:hint="cs"/>
          <w:color w:val="0070C0"/>
          <w:sz w:val="28"/>
          <w:szCs w:val="28"/>
          <w:rtl/>
        </w:rPr>
      </w:pPr>
      <w:r>
        <w:rPr>
          <w:rFonts w:cs="Abz-2 (Badr)" w:hint="cs"/>
          <w:color w:val="0070C0"/>
          <w:sz w:val="28"/>
          <w:szCs w:val="28"/>
          <w:rtl/>
        </w:rPr>
        <w:t>وأيضاً النفقة لا تجب للوالدة الموسرة، وهذه الأُمّ لها مال، فكيف تجب النفقة عليها؟</w:t>
      </w:r>
    </w:p>
    <w:p w14:paraId="45F6B76A" w14:textId="77777777" w:rsidR="00FC4937" w:rsidRDefault="00FC4937" w:rsidP="00FC4937">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rPr>
        <w:t>فإن كان على المسألة إجماع منعقد من أصحابنا، قلنا به، وإلا بقينا على نفي الأحكام الشرعيّة إلا بأدلّة شرعيّة.</w:t>
      </w:r>
    </w:p>
    <w:p w14:paraId="24E72FDB" w14:textId="77777777" w:rsidR="00FC4937" w:rsidRDefault="00FC4937" w:rsidP="00FC4937">
      <w:pPr>
        <w:widowControl w:val="0"/>
        <w:bidi/>
        <w:spacing w:after="0" w:line="252" w:lineRule="auto"/>
        <w:ind w:firstLine="284"/>
        <w:jc w:val="both"/>
        <w:rPr>
          <w:rFonts w:cs="Abz-2 (Badr)"/>
          <w:color w:val="000000" w:themeColor="text1"/>
          <w:sz w:val="28"/>
          <w:szCs w:val="28"/>
          <w:lang w:bidi="fa-IR"/>
        </w:rPr>
      </w:pPr>
      <w:r>
        <w:rPr>
          <w:rFonts w:cs="Abz-2 (Badr)" w:hint="cs"/>
          <w:color w:val="0070C0"/>
          <w:sz w:val="28"/>
          <w:szCs w:val="28"/>
          <w:rtl/>
        </w:rPr>
        <w:t xml:space="preserve">وما اخترناه وحرّرناه مذهب شيخنا محمّد بن محمّد بن النعمان المفيد في كتابه «التمهيد»، فإنّه قال: «إنّ الولد إنّما يكون له مال عند خروجه إلى الأرض حيّاً. فأمّا وهو جنين، لا يعرف له موت من حياة، فلا ميراث له ولا مال على الإنفاق، </w:t>
      </w:r>
      <w:r>
        <w:rPr>
          <w:rFonts w:cs="Abz-2 (Badr)" w:hint="cs"/>
          <w:color w:val="0070C0"/>
          <w:sz w:val="28"/>
          <w:szCs w:val="28"/>
          <w:rtl/>
        </w:rPr>
        <w:lastRenderedPageBreak/>
        <w:t>فكيف ينفق على الحبلى من مال من لا مال له لولا السهو في الرواية أو الإدغال فيها».»</w:t>
      </w:r>
      <w:r>
        <w:rPr>
          <w:rStyle w:val="FootnoteReference"/>
          <w:rFonts w:cs="Abz-2 (Badr)"/>
          <w:color w:val="000000" w:themeColor="text1"/>
          <w:sz w:val="28"/>
          <w:szCs w:val="28"/>
          <w:rtl/>
          <w:lang w:bidi="ar"/>
        </w:rPr>
        <w:footnoteReference w:id="9"/>
      </w:r>
    </w:p>
    <w:p w14:paraId="5423AFF0" w14:textId="77777777" w:rsidR="00FC4937" w:rsidRDefault="00FC4937" w:rsidP="00FC4937">
      <w:pPr>
        <w:widowControl w:val="0"/>
        <w:bidi/>
        <w:spacing w:after="0" w:line="252" w:lineRule="auto"/>
        <w:ind w:firstLine="284"/>
        <w:jc w:val="both"/>
        <w:rPr>
          <w:rFonts w:cs="Abz-2 (Badr)"/>
          <w:color w:val="0070C0"/>
          <w:sz w:val="28"/>
          <w:szCs w:val="28"/>
          <w:lang w:bidi="fa-IR"/>
        </w:rPr>
      </w:pPr>
      <w:r>
        <w:rPr>
          <w:rFonts w:cs="Abz-2 (Badr)" w:hint="cs"/>
          <w:color w:val="000000" w:themeColor="text1"/>
          <w:sz w:val="28"/>
          <w:szCs w:val="28"/>
          <w:rtl/>
          <w:lang w:bidi="fa-IR"/>
        </w:rPr>
        <w:t>البته محقق در شرح نهايه در پاسخ به اشکالی که ابن ادريس از مفيد نقل کرده است،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 xml:space="preserve">الحمل ليس له مال فكيف ينفق من نصيبه‌؟ ولأنّها موسرة فلا يجب نفقتها على الولد. ثمّ‌ قد يمكن أن يخرج ميّتاً فيكون الإنفاق إضراراً بالورثة. </w:t>
      </w:r>
    </w:p>
    <w:p w14:paraId="782159AF" w14:textId="77777777" w:rsidR="00FC4937" w:rsidRDefault="00FC4937" w:rsidP="00FC4937">
      <w:pPr>
        <w:widowControl w:val="0"/>
        <w:bidi/>
        <w:spacing w:after="0" w:line="252" w:lineRule="auto"/>
        <w:ind w:firstLine="284"/>
        <w:jc w:val="both"/>
        <w:rPr>
          <w:rFonts w:cs="Abz-2 (Badr)"/>
          <w:color w:val="0070C0"/>
          <w:sz w:val="28"/>
          <w:szCs w:val="28"/>
          <w:lang w:bidi="ar"/>
        </w:rPr>
      </w:pPr>
      <w:r>
        <w:rPr>
          <w:rFonts w:cs="Abz-2 (Badr)" w:hint="cs"/>
          <w:color w:val="0070C0"/>
          <w:sz w:val="28"/>
          <w:szCs w:val="28"/>
          <w:rtl/>
          <w:lang w:bidi="ar"/>
        </w:rPr>
        <w:t>الجواب: الحمل يعزل له نصيب من تركة الميّت إجماعاً، فإضافة النصيب إليه إضافة صحيحة، وهو يملك ملكاً مشروطاً بوضعه حيّاً.</w:t>
      </w:r>
    </w:p>
    <w:p w14:paraId="327A8410" w14:textId="77777777" w:rsidR="00FC4937" w:rsidRDefault="00FC4937" w:rsidP="00FC4937">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وأمّا إيجاب الإنفاق عليها من نصيب الولد، فإنّه رحمه الله عوّل فيه على ما روي عن محمّد بن فضيل عن أبي الصباح الكناني عن أبي عبدالله(ع)... والشيخ رحمه الله يدّعي على ذلك الإجماع.</w:t>
      </w:r>
    </w:p>
    <w:p w14:paraId="21292C76" w14:textId="77777777" w:rsidR="00FC4937" w:rsidRDefault="00FC4937" w:rsidP="00FC4937">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والذي أعتمده أنّه لا نفقة لها.»</w:t>
      </w:r>
      <w:r>
        <w:rPr>
          <w:rStyle w:val="FootnoteReference"/>
          <w:rFonts w:cs="Abz-2 (Badr)"/>
          <w:color w:val="000000" w:themeColor="text1"/>
          <w:sz w:val="28"/>
          <w:szCs w:val="28"/>
          <w:rtl/>
          <w:lang w:bidi="ar"/>
        </w:rPr>
        <w:footnoteReference w:id="10"/>
      </w:r>
    </w:p>
    <w:p w14:paraId="439B6BC1"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ظاهراً مراد ايشان از ادعای اجماع شيخ بر مسأله، مطلبی است که شيخ در خلاف فرموده است. در نتيجه ايشان نيز از مطالب شيخ در خلاف و مبسوط برداشتی نظير برداشت ابن ادريس داشته است.</w:t>
      </w:r>
    </w:p>
    <w:p w14:paraId="3C81B07E"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پاسخی که به اشکال مفيد داده است، اين اشکال را که چگونه به مادر متمکّن از مال فرزند نفقه داده می</w:t>
      </w:r>
      <w:r>
        <w:rPr>
          <w:rFonts w:cs="Abz-2 (Badr)" w:hint="cs"/>
          <w:color w:val="000000" w:themeColor="text1"/>
          <w:sz w:val="28"/>
          <w:szCs w:val="28"/>
          <w:rtl/>
          <w:lang w:bidi="ar"/>
        </w:rPr>
        <w:softHyphen/>
        <w:t>شود، پاسخ نمی</w:t>
      </w:r>
      <w:r>
        <w:rPr>
          <w:rFonts w:cs="Abz-2 (Badr)" w:hint="cs"/>
          <w:color w:val="000000" w:themeColor="text1"/>
          <w:sz w:val="28"/>
          <w:szCs w:val="28"/>
          <w:rtl/>
          <w:lang w:bidi="ar"/>
        </w:rPr>
        <w:softHyphen/>
        <w:t>دهد.</w:t>
      </w:r>
    </w:p>
    <w:p w14:paraId="565CA265"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مگر اين که در پاسخ گفته شود: نفقه</w:t>
      </w:r>
      <w:r>
        <w:rPr>
          <w:rFonts w:cs="Abz-2 (Badr)" w:hint="cs"/>
          <w:color w:val="000000" w:themeColor="text1"/>
          <w:sz w:val="28"/>
          <w:szCs w:val="28"/>
          <w:rtl/>
          <w:lang w:bidi="ar"/>
        </w:rPr>
        <w:softHyphen/>
        <w:t>ای که به مادر داده می</w:t>
      </w:r>
      <w:r>
        <w:rPr>
          <w:rFonts w:cs="Abz-2 (Badr)" w:hint="cs"/>
          <w:color w:val="000000" w:themeColor="text1"/>
          <w:sz w:val="28"/>
          <w:szCs w:val="28"/>
          <w:rtl/>
          <w:lang w:bidi="ar"/>
        </w:rPr>
        <w:softHyphen/>
        <w:t>شود، از اين باب است که چون فرزند در بطن وی قرار دارد، در واقع آن نفقه به مصرف فرزند می</w:t>
      </w:r>
      <w:r>
        <w:rPr>
          <w:rFonts w:cs="Abz-2 (Badr)" w:hint="cs"/>
          <w:color w:val="000000" w:themeColor="text1"/>
          <w:sz w:val="28"/>
          <w:szCs w:val="28"/>
          <w:rtl/>
          <w:lang w:bidi="ar"/>
        </w:rPr>
        <w:softHyphen/>
        <w:t>رسد نه به مصرف مادر.</w:t>
      </w:r>
    </w:p>
    <w:p w14:paraId="3ACEE79D"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ولی در اين صورت بايد گفت: مازاد بر نفقه مادر که در صورت فقدان حمل برای معيشت او لازم بود، بايد از مال فرزند به وی پرداخت گردد.</w:t>
      </w:r>
    </w:p>
    <w:p w14:paraId="2E985398" w14:textId="77777777" w:rsidR="00FC4937" w:rsidRDefault="00FC4937" w:rsidP="00FC4937">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t>پس بهتر است گفته شود: کسانی که قائل به قول اول شده</w:t>
      </w:r>
      <w:r>
        <w:rPr>
          <w:rFonts w:cs="Abz-2 (Badr)" w:hint="cs"/>
          <w:color w:val="000000" w:themeColor="text1"/>
          <w:sz w:val="28"/>
          <w:szCs w:val="28"/>
          <w:rtl/>
          <w:lang w:bidi="ar"/>
        </w:rPr>
        <w:softHyphen/>
        <w:t>اند، از باب تعبد و عمل به اخبار آن را پذيرفته</w:t>
      </w:r>
      <w:r>
        <w:rPr>
          <w:rFonts w:cs="Abz-2 (Badr)" w:hint="cs"/>
          <w:color w:val="000000" w:themeColor="text1"/>
          <w:sz w:val="28"/>
          <w:szCs w:val="28"/>
          <w:rtl/>
          <w:lang w:bidi="ar"/>
        </w:rPr>
        <w:softHyphen/>
        <w:t>اند، فلذا لازم نيست که به دنبال توجيه حکم مذکور باشند و ظاهر کلام محقق در شرح نهايه نيز همين مطلب است.</w:t>
      </w:r>
    </w:p>
    <w:p w14:paraId="24CBB4BA" w14:textId="77777777" w:rsidR="00FC4937" w:rsidRDefault="00FC4937" w:rsidP="00FC4937">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lang w:bidi="ar"/>
        </w:rPr>
        <w:lastRenderedPageBreak/>
        <w:t>جلسه آينده به بررسی اخبار مسأله خواهيم پرداخت ان شاء الله.</w:t>
      </w:r>
    </w:p>
    <w:p w14:paraId="35E11A7D" w14:textId="77777777" w:rsidR="00FC4937" w:rsidRDefault="00FC4937" w:rsidP="00FC4937">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17C1FBDD" w14:textId="77777777" w:rsidR="00FC4937" w:rsidRDefault="00FC4937" w:rsidP="00FC4937">
      <w:pPr>
        <w:widowControl w:val="0"/>
        <w:bidi/>
        <w:spacing w:after="0" w:line="252" w:lineRule="auto"/>
        <w:ind w:left="1701"/>
        <w:jc w:val="both"/>
        <w:rPr>
          <w:rFonts w:cs="Abz-2 (Badr)" w:hint="cs"/>
          <w:color w:val="00B050"/>
          <w:sz w:val="28"/>
          <w:szCs w:val="28"/>
          <w:rtl/>
          <w:lang w:bidi="fa-IR"/>
        </w:rPr>
      </w:pPr>
      <w:r>
        <w:rPr>
          <w:rFonts w:cs="Abz-2 (Badr)" w:hint="cs"/>
          <w:color w:val="00B050"/>
          <w:sz w:val="28"/>
          <w:szCs w:val="28"/>
          <w:rtl/>
          <w:lang w:bidi="ar"/>
        </w:rPr>
        <w:lastRenderedPageBreak/>
        <w:t>قال المحقّق الحلّي: «وفي الحامل المتوفّى عنها زوجها روايتان؛ أشهرهما أنّه لا نفقة لها، والأُخرى ينفق عليها من نصيب ولدها.</w:t>
      </w:r>
    </w:p>
    <w:p w14:paraId="07E80795" w14:textId="77777777" w:rsidR="00FC4937" w:rsidRDefault="00FC4937" w:rsidP="00FC4937">
      <w:pPr>
        <w:widowControl w:val="0"/>
        <w:bidi/>
        <w:spacing w:after="0" w:line="252" w:lineRule="auto"/>
        <w:ind w:left="1701"/>
        <w:jc w:val="both"/>
        <w:rPr>
          <w:rFonts w:cs="Abz-2 (Badr)"/>
          <w:color w:val="0070C0"/>
          <w:sz w:val="28"/>
          <w:szCs w:val="28"/>
          <w:lang w:bidi="fa-IR"/>
        </w:rPr>
      </w:pPr>
      <w:r>
        <w:rPr>
          <w:rFonts w:cs="Abz-2 (Badr)" w:hint="cs"/>
          <w:color w:val="00B050"/>
          <w:sz w:val="28"/>
          <w:szCs w:val="28"/>
          <w:rtl/>
          <w:lang w:bidi="ar"/>
        </w:rPr>
        <w:t>وتثبت النفقة للزوجة، مسلمة كانت أو ذمّيّة أو أمة.»</w:t>
      </w:r>
      <w:r>
        <w:rPr>
          <w:rStyle w:val="FootnoteReference"/>
          <w:rFonts w:cs="Abz-2 (Badr)"/>
          <w:color w:val="000000" w:themeColor="text1"/>
          <w:sz w:val="28"/>
          <w:szCs w:val="28"/>
          <w:rtl/>
          <w:lang w:bidi="ar"/>
        </w:rPr>
        <w:footnoteReference w:id="11"/>
      </w:r>
    </w:p>
    <w:p w14:paraId="6B779EBE"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fa-IR"/>
        </w:rPr>
      </w:pPr>
    </w:p>
    <w:p w14:paraId="6711C107"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يوجد بين الأصحاب فيما يتعلّق بنفقة المرأة الحامل التي توفّي زوجها قولان:</w:t>
      </w:r>
    </w:p>
    <w:p w14:paraId="2F2719DD" w14:textId="77777777" w:rsidR="00FC4937" w:rsidRDefault="00FC4937" w:rsidP="00FC4937">
      <w:pPr>
        <w:widowControl w:val="0"/>
        <w:bidi/>
        <w:spacing w:after="0" w:line="240" w:lineRule="auto"/>
        <w:ind w:firstLine="284"/>
        <w:jc w:val="both"/>
        <w:rPr>
          <w:rFonts w:cs="Abz-2 (Badr)"/>
          <w:color w:val="7030A0"/>
          <w:sz w:val="28"/>
          <w:szCs w:val="28"/>
          <w:lang w:bidi="fa-IR"/>
        </w:rPr>
      </w:pPr>
      <w:r>
        <w:rPr>
          <w:rFonts w:cs="Abz-2 (Badr)" w:hint="cs"/>
          <w:color w:val="7030A0"/>
          <w:sz w:val="28"/>
          <w:szCs w:val="28"/>
          <w:rtl/>
        </w:rPr>
        <w:t>القول الأوّل: وجوب النفقة من سهم الحمل من الإرث</w:t>
      </w:r>
    </w:p>
    <w:p w14:paraId="0A17F17B" w14:textId="77777777" w:rsidR="00FC4937" w:rsidRDefault="00FC4937" w:rsidP="00FC4937">
      <w:pPr>
        <w:widowControl w:val="0"/>
        <w:bidi/>
        <w:spacing w:after="0" w:line="240" w:lineRule="auto"/>
        <w:ind w:firstLine="284"/>
        <w:jc w:val="both"/>
        <w:rPr>
          <w:rFonts w:cs="Abz-2 (Badr)"/>
          <w:color w:val="000000" w:themeColor="text1"/>
          <w:sz w:val="28"/>
          <w:szCs w:val="28"/>
          <w:lang w:bidi="fa-IR"/>
        </w:rPr>
      </w:pPr>
      <w:r>
        <w:rPr>
          <w:rFonts w:cs="Abz-2 (Badr)" w:hint="cs"/>
          <w:color w:val="000000" w:themeColor="text1"/>
          <w:sz w:val="28"/>
          <w:szCs w:val="28"/>
          <w:rtl/>
        </w:rPr>
        <w:t xml:space="preserve">وقد قال  الصدوق في من لا يحضره الفقيه بعد نقله الأخبار الواردة في شأن نفقة الحامل المتوفّى عنها زوجها: </w:t>
      </w:r>
      <w:r>
        <w:rPr>
          <w:rFonts w:cs="Abz-2 (Badr)" w:hint="cs"/>
          <w:color w:val="0070C0"/>
          <w:sz w:val="28"/>
          <w:szCs w:val="28"/>
          <w:rtl/>
          <w:lang w:bidi="fa-IR"/>
        </w:rPr>
        <w:t>«والذي نفتي به رواية الکناني»</w:t>
      </w:r>
      <w:r>
        <w:rPr>
          <w:rStyle w:val="FootnoteReference"/>
          <w:rFonts w:cs="Abz-2 (Badr)"/>
          <w:color w:val="000000" w:themeColor="text1"/>
          <w:sz w:val="28"/>
          <w:szCs w:val="28"/>
          <w:rtl/>
          <w:lang w:bidi="ar"/>
        </w:rPr>
        <w:footnoteReference w:id="12"/>
      </w:r>
      <w:r>
        <w:rPr>
          <w:rFonts w:cs="Abz-2 (Badr)" w:hint="cs"/>
          <w:color w:val="000000" w:themeColor="text1"/>
          <w:sz w:val="28"/>
          <w:szCs w:val="28"/>
          <w:rtl/>
          <w:lang w:bidi="fa-IR"/>
        </w:rPr>
        <w:t xml:space="preserve"> </w:t>
      </w:r>
      <w:r>
        <w:rPr>
          <w:rFonts w:cs="Abz-2 (Badr)" w:hint="cs"/>
          <w:color w:val="000000" w:themeColor="text1"/>
          <w:sz w:val="28"/>
          <w:szCs w:val="28"/>
          <w:rtl/>
        </w:rPr>
        <w:t>ومضمون هذه الرواية ـ كما سيأتي إن شاء الله تعالى ـ أنّ المرأة تستحقّ النفقة من سهم الحمل ممّا ترکه والده</w:t>
      </w:r>
      <w:r>
        <w:rPr>
          <w:rFonts w:cs="Abz-2 (Badr)" w:hint="cs"/>
          <w:color w:val="000000" w:themeColor="text1"/>
          <w:sz w:val="28"/>
          <w:szCs w:val="28"/>
          <w:rtl/>
          <w:lang w:bidi="fa-IR"/>
        </w:rPr>
        <w:t>.</w:t>
      </w:r>
    </w:p>
    <w:p w14:paraId="5397A604"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وقد نسب العلامة في المختلف هذا القول إلى ابن جنيد وإلى الصدوق في المقنع أيضاً</w:t>
      </w:r>
      <w:r>
        <w:rPr>
          <w:rStyle w:val="FootnoteReference"/>
          <w:rFonts w:cs="Abz-2 (Badr)"/>
          <w:color w:val="000000" w:themeColor="text1"/>
          <w:spacing w:val="-4"/>
          <w:sz w:val="28"/>
          <w:szCs w:val="28"/>
          <w:rtl/>
          <w:lang w:bidi="ar"/>
        </w:rPr>
        <w:footnoteReference w:id="13"/>
      </w:r>
      <w:r>
        <w:rPr>
          <w:rFonts w:cs="Abz-2 (Badr)" w:hint="cs"/>
          <w:color w:val="000000" w:themeColor="text1"/>
          <w:sz w:val="28"/>
          <w:szCs w:val="28"/>
          <w:rtl/>
        </w:rPr>
        <w:t>، إلا أنّه لا يشتمل المقنع على هذا القول ولا يظهر منه ما يدلّ عليه.</w:t>
      </w:r>
    </w:p>
    <w:p w14:paraId="7BC8D957"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وقال الشيخ في النهاية: </w:t>
      </w:r>
      <w:r>
        <w:rPr>
          <w:rFonts w:cs="Abz-2 (Badr)" w:hint="cs"/>
          <w:color w:val="0070C0"/>
          <w:sz w:val="28"/>
          <w:szCs w:val="28"/>
          <w:rtl/>
          <w:lang w:bidi="fa-IR"/>
        </w:rPr>
        <w:t>«</w:t>
      </w:r>
      <w:r>
        <w:rPr>
          <w:rFonts w:cs="Abz-2 (Badr)" w:hint="cs"/>
          <w:color w:val="0070C0"/>
          <w:sz w:val="28"/>
          <w:szCs w:val="28"/>
          <w:rtl/>
          <w:lang w:bidi="ar"/>
        </w:rPr>
        <w:t>لا نفقة للتي مات عنها زوجها من تركة الرجل. فإن كانت حاملاً أُنفق عليها من نصيب ولدها الذي في بطنها.»</w:t>
      </w:r>
      <w:r>
        <w:rPr>
          <w:rStyle w:val="FootnoteReference"/>
          <w:rFonts w:cs="Abz-2 (Badr)"/>
          <w:color w:val="000000" w:themeColor="text1"/>
          <w:sz w:val="28"/>
          <w:szCs w:val="28"/>
          <w:rtl/>
          <w:lang w:bidi="ar"/>
        </w:rPr>
        <w:footnoteReference w:id="14"/>
      </w:r>
    </w:p>
    <w:p w14:paraId="6346E267"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وقال الحلبي: </w:t>
      </w:r>
      <w:r>
        <w:rPr>
          <w:rFonts w:cs="Abz-2 (Badr)" w:hint="cs"/>
          <w:color w:val="0070C0"/>
          <w:sz w:val="28"/>
          <w:szCs w:val="28"/>
          <w:rtl/>
          <w:lang w:bidi="fa-IR"/>
        </w:rPr>
        <w:t>«</w:t>
      </w:r>
      <w:r>
        <w:rPr>
          <w:rFonts w:cs="Abz-2 (Badr)" w:hint="cs"/>
          <w:color w:val="0070C0"/>
          <w:sz w:val="28"/>
          <w:szCs w:val="28"/>
          <w:rtl/>
          <w:lang w:bidi="ar"/>
        </w:rPr>
        <w:t>إذا كانت المتوفّى عنها زوجها حاملاً، أُنفق عليها من مال ولدها حتّى تضع.»</w:t>
      </w:r>
      <w:r>
        <w:rPr>
          <w:rStyle w:val="FootnoteReference"/>
          <w:rFonts w:cs="Abz-2 (Badr)"/>
          <w:color w:val="000000" w:themeColor="text1"/>
          <w:sz w:val="28"/>
          <w:szCs w:val="28"/>
          <w:rtl/>
          <w:lang w:bidi="ar"/>
        </w:rPr>
        <w:footnoteReference w:id="15"/>
      </w:r>
    </w:p>
    <w:p w14:paraId="316876BD" w14:textId="77777777" w:rsidR="00FC4937" w:rsidRDefault="00FC4937" w:rsidP="00FC4937">
      <w:pPr>
        <w:widowControl w:val="0"/>
        <w:bidi/>
        <w:spacing w:after="0" w:line="240"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وتلقّی ابن البرّاج، وابن زهرة وابن حمزة أيضاً هذا القول بالقبول.</w:t>
      </w:r>
      <w:r>
        <w:rPr>
          <w:rStyle w:val="FootnoteReference"/>
          <w:rFonts w:cs="Abz-2 (Badr)"/>
          <w:color w:val="000000" w:themeColor="text1"/>
          <w:sz w:val="28"/>
          <w:szCs w:val="28"/>
          <w:rtl/>
          <w:lang w:bidi="ar"/>
        </w:rPr>
        <w:footnoteReference w:id="16"/>
      </w:r>
    </w:p>
    <w:p w14:paraId="0FA00B07" w14:textId="77777777" w:rsidR="00FC4937" w:rsidRDefault="00FC4937" w:rsidP="00FC4937">
      <w:pPr>
        <w:widowControl w:val="0"/>
        <w:bidi/>
        <w:spacing w:after="0" w:line="240" w:lineRule="auto"/>
        <w:ind w:firstLine="284"/>
        <w:jc w:val="both"/>
        <w:rPr>
          <w:rFonts w:cs="Abz-2 (Badr)" w:hint="cs"/>
          <w:color w:val="7030A0"/>
          <w:sz w:val="28"/>
          <w:szCs w:val="28"/>
          <w:rtl/>
          <w:lang w:bidi="fa-IR"/>
        </w:rPr>
      </w:pPr>
      <w:r>
        <w:rPr>
          <w:rFonts w:cs="Abz-2 (Badr)" w:hint="cs"/>
          <w:color w:val="7030A0"/>
          <w:sz w:val="28"/>
          <w:szCs w:val="28"/>
          <w:rtl/>
          <w:lang w:bidi="fa-IR"/>
        </w:rPr>
        <w:t>القول الثاني: عدم وجوب النفقة</w:t>
      </w:r>
    </w:p>
    <w:p w14:paraId="09D3C145" w14:textId="77777777" w:rsidR="00FC4937" w:rsidRDefault="00FC4937" w:rsidP="00FC4937">
      <w:pPr>
        <w:widowControl w:val="0"/>
        <w:bidi/>
        <w:spacing w:after="0" w:line="240" w:lineRule="auto"/>
        <w:ind w:firstLine="284"/>
        <w:jc w:val="both"/>
        <w:rPr>
          <w:rFonts w:cs="Abz-2 (Badr)" w:hint="cs"/>
          <w:color w:val="0070C0"/>
          <w:sz w:val="28"/>
          <w:szCs w:val="28"/>
          <w:rtl/>
          <w:lang w:bidi="ar"/>
        </w:rPr>
      </w:pPr>
      <w:r>
        <w:rPr>
          <w:rFonts w:cs="Abz-2 (Badr)" w:hint="cs"/>
          <w:color w:val="000000" w:themeColor="text1"/>
          <w:sz w:val="28"/>
          <w:szCs w:val="28"/>
          <w:rtl/>
          <w:lang w:bidi="fa-IR"/>
        </w:rPr>
        <w:lastRenderedPageBreak/>
        <w:t xml:space="preserve">قال الشيخ في المبسوط: </w:t>
      </w:r>
      <w:r>
        <w:rPr>
          <w:rFonts w:cs="Abz-2 (Badr)" w:hint="cs"/>
          <w:color w:val="0070C0"/>
          <w:sz w:val="28"/>
          <w:szCs w:val="28"/>
          <w:rtl/>
          <w:lang w:bidi="fa-IR"/>
        </w:rPr>
        <w:t>«</w:t>
      </w:r>
      <w:r>
        <w:rPr>
          <w:rFonts w:cs="Abz-2 (Badr)" w:hint="cs"/>
          <w:color w:val="0070C0"/>
          <w:sz w:val="28"/>
          <w:szCs w:val="28"/>
          <w:rtl/>
          <w:lang w:bidi="ar"/>
        </w:rPr>
        <w:t>المتوفّى عنها زوجها لا نفقة لها، حاملاً كانت أو حائلاً، بلا خلاف. وقال بعض الصحابة: إنّها إذا كانت حاملاً كان لها النفقة.</w:t>
      </w:r>
    </w:p>
    <w:p w14:paraId="1BAA309C" w14:textId="77777777" w:rsidR="00FC4937" w:rsidRDefault="00FC4937" w:rsidP="00FC4937">
      <w:pPr>
        <w:widowControl w:val="0"/>
        <w:bidi/>
        <w:spacing w:after="0" w:line="240" w:lineRule="auto"/>
        <w:ind w:firstLine="284"/>
        <w:jc w:val="both"/>
        <w:rPr>
          <w:rFonts w:cs="Abz-2 (Badr)" w:hint="cs"/>
          <w:color w:val="0070C0"/>
          <w:sz w:val="28"/>
          <w:szCs w:val="28"/>
          <w:rtl/>
          <w:lang w:bidi="fa-IR"/>
        </w:rPr>
      </w:pPr>
      <w:r>
        <w:rPr>
          <w:rFonts w:cs="Abz-2 (Badr)" w:hint="cs"/>
          <w:color w:val="0070C0"/>
          <w:sz w:val="28"/>
          <w:szCs w:val="28"/>
          <w:rtl/>
          <w:lang w:bidi="ar"/>
        </w:rPr>
        <w:t>وروى أصحابنا أنّ لها النفقة إذا كانت حاملاً من نصيب ولدها الذي في بطنها.»</w:t>
      </w:r>
      <w:r>
        <w:rPr>
          <w:rStyle w:val="FootnoteReference"/>
          <w:rFonts w:cs="Abz-2 (Badr)"/>
          <w:color w:val="000000" w:themeColor="text1"/>
          <w:sz w:val="28"/>
          <w:szCs w:val="28"/>
          <w:rtl/>
          <w:lang w:bidi="ar"/>
        </w:rPr>
        <w:footnoteReference w:id="17"/>
      </w:r>
    </w:p>
    <w:p w14:paraId="6B17A184"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وفي الخلاف أيضاً ذكر نظير هذا المطلب وجعل الدليل عليه الأصل وإجماع الأصحاب.</w:t>
      </w:r>
      <w:r>
        <w:rPr>
          <w:rStyle w:val="FootnoteReference"/>
          <w:rFonts w:cs="Abz-2 (Badr)"/>
          <w:color w:val="000000" w:themeColor="text1"/>
          <w:sz w:val="28"/>
          <w:szCs w:val="28"/>
          <w:rtl/>
          <w:lang w:bidi="ar"/>
        </w:rPr>
        <w:footnoteReference w:id="18"/>
      </w:r>
    </w:p>
    <w:p w14:paraId="049C44C9" w14:textId="77777777" w:rsidR="00FC4937" w:rsidRDefault="00FC4937" w:rsidP="00FC4937">
      <w:pPr>
        <w:widowControl w:val="0"/>
        <w:bidi/>
        <w:spacing w:after="0" w:line="252" w:lineRule="auto"/>
        <w:ind w:firstLine="284"/>
        <w:jc w:val="both"/>
        <w:rPr>
          <w:rFonts w:cs="Abz-2 (Badr)" w:hint="cs"/>
          <w:color w:val="0070C0"/>
          <w:sz w:val="28"/>
          <w:szCs w:val="28"/>
          <w:rtl/>
        </w:rPr>
      </w:pPr>
      <w:r>
        <w:rPr>
          <w:rFonts w:cs="Abz-2 (Badr)" w:hint="cs"/>
          <w:color w:val="000000" w:themeColor="text1"/>
          <w:sz w:val="28"/>
          <w:szCs w:val="28"/>
          <w:rtl/>
        </w:rPr>
        <w:t>غير أنّ ابن إدريس فهم من كلام الشيخ أنّ ما ذكره في المبسوط والخلاف وما ادّعى عليه ثبوت الإجماع، هو عدم استحقاق مثل هذه الزوجة النفقة من أصل تركة الزوج المتوفّى، وأمّا استحقاقها النفقة من سهم ولدها من التركة فهو ممّا يوافقه الشيخ في هذين الکتابين کما في النهاية. ولذا قال</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rPr>
        <w:t>ذهب إليه شيخنا أبو جعفر، في جميع كتبه.</w:t>
      </w:r>
    </w:p>
    <w:p w14:paraId="7A0781FF" w14:textId="77777777" w:rsidR="00FC4937" w:rsidRDefault="00FC4937" w:rsidP="00FC4937">
      <w:pPr>
        <w:widowControl w:val="0"/>
        <w:bidi/>
        <w:spacing w:after="0" w:line="252" w:lineRule="auto"/>
        <w:ind w:firstLine="284"/>
        <w:jc w:val="both"/>
        <w:rPr>
          <w:rFonts w:cs="Abz-2 (Badr)" w:hint="cs"/>
          <w:color w:val="0070C0"/>
          <w:sz w:val="28"/>
          <w:szCs w:val="28"/>
          <w:rtl/>
        </w:rPr>
      </w:pPr>
      <w:r>
        <w:rPr>
          <w:rFonts w:cs="Abz-2 (Badr)" w:hint="cs"/>
          <w:color w:val="0070C0"/>
          <w:sz w:val="28"/>
          <w:szCs w:val="28"/>
          <w:rtl/>
        </w:rPr>
        <w:t>والذي يقوى في نفسي و يقتضيه أُصول مذهبنا، أن لا ينفق عليها من المال المعزول، لأنّ الإنفاق حكم شرعي يحتاج إلى دليل شرعي، والأصل أن لا إنفاق.</w:t>
      </w:r>
    </w:p>
    <w:p w14:paraId="0D130F92" w14:textId="77777777" w:rsidR="00FC4937" w:rsidRDefault="00FC4937" w:rsidP="00FC4937">
      <w:pPr>
        <w:widowControl w:val="0"/>
        <w:bidi/>
        <w:spacing w:after="0" w:line="252" w:lineRule="auto"/>
        <w:ind w:firstLine="284"/>
        <w:jc w:val="both"/>
        <w:rPr>
          <w:rFonts w:cs="Abz-2 (Badr)" w:hint="cs"/>
          <w:color w:val="0070C0"/>
          <w:sz w:val="28"/>
          <w:szCs w:val="28"/>
          <w:rtl/>
        </w:rPr>
      </w:pPr>
      <w:r>
        <w:rPr>
          <w:rFonts w:cs="Abz-2 (Badr)" w:hint="cs"/>
          <w:color w:val="0070C0"/>
          <w:sz w:val="28"/>
          <w:szCs w:val="28"/>
          <w:rtl/>
        </w:rPr>
        <w:t>وأيضاً النفقة لا تجب للوالدة الموسرة، وهذه الأُمّ لها مال، فكيف تجب النفقة عليها؟</w:t>
      </w:r>
    </w:p>
    <w:p w14:paraId="2F49184D" w14:textId="77777777" w:rsidR="00FC4937" w:rsidRDefault="00FC4937" w:rsidP="00FC4937">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rPr>
        <w:t>فإن كان على المسألة إجماع منعقد من أصحابنا، قلنا به، وإلا بقينا على نفي الأحكام الشرعيّة إلا بأدلّة شرعيّة.</w:t>
      </w:r>
    </w:p>
    <w:p w14:paraId="223607A8" w14:textId="77777777" w:rsidR="00FC4937" w:rsidRDefault="00FC4937" w:rsidP="00FC4937">
      <w:pPr>
        <w:widowControl w:val="0"/>
        <w:bidi/>
        <w:spacing w:after="0" w:line="252" w:lineRule="auto"/>
        <w:ind w:firstLine="284"/>
        <w:jc w:val="both"/>
        <w:rPr>
          <w:rFonts w:cs="Abz-2 (Badr)"/>
          <w:color w:val="000000" w:themeColor="text1"/>
          <w:sz w:val="28"/>
          <w:szCs w:val="28"/>
          <w:lang w:bidi="fa-IR"/>
        </w:rPr>
      </w:pPr>
      <w:r>
        <w:rPr>
          <w:rFonts w:cs="Abz-2 (Badr)" w:hint="cs"/>
          <w:color w:val="0070C0"/>
          <w:sz w:val="28"/>
          <w:szCs w:val="28"/>
          <w:rtl/>
        </w:rPr>
        <w:t>وما اخترناه وحرّرناه مذهب شيخنا محمّد بن محمّد بن النعمان المفيد في كتابه «التمهيد»، فإنّه قال: «إنّ الولد إنّما يكون له مال عند خروجه إلى الأرض حيّاً. فأمّا وهو جنين، لا يعرف له موت من حياة، فلا ميراث له ولا مال على الإنفاق، فكيف ينفق على الحبلى من مال من لا مال له لولا السهو في الرواية أو الإدغال فيها».»</w:t>
      </w:r>
      <w:r>
        <w:rPr>
          <w:rStyle w:val="FootnoteReference"/>
          <w:rFonts w:cs="Abz-2 (Badr)"/>
          <w:color w:val="000000" w:themeColor="text1"/>
          <w:sz w:val="28"/>
          <w:szCs w:val="28"/>
          <w:rtl/>
          <w:lang w:bidi="ar"/>
        </w:rPr>
        <w:footnoteReference w:id="19"/>
      </w:r>
    </w:p>
    <w:p w14:paraId="0DD08F07" w14:textId="77777777" w:rsidR="00FC4937" w:rsidRDefault="00FC4937" w:rsidP="00FC4937">
      <w:pPr>
        <w:widowControl w:val="0"/>
        <w:bidi/>
        <w:spacing w:after="0" w:line="252" w:lineRule="auto"/>
        <w:ind w:firstLine="284"/>
        <w:jc w:val="both"/>
        <w:rPr>
          <w:rFonts w:cs="Abz-2 (Badr)"/>
          <w:color w:val="0070C0"/>
          <w:sz w:val="28"/>
          <w:szCs w:val="28"/>
          <w:lang w:bidi="fa-IR"/>
        </w:rPr>
      </w:pPr>
      <w:r>
        <w:rPr>
          <w:rFonts w:cs="Abz-2 (Badr)" w:hint="cs"/>
          <w:color w:val="000000" w:themeColor="text1"/>
          <w:sz w:val="28"/>
          <w:szCs w:val="28"/>
          <w:rtl/>
        </w:rPr>
        <w:t>قال المحقّق في شرح النهاية في مقام الجواب عن الإشكال الذي نقله ابن إدريس عن المفيد</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 xml:space="preserve">الحمل ليس له مال فكيف ينفق من نصيبه‌؟ ولأنّها موسرة فلا يجب نفقتها على الولد. ثمّ‌ قد يمكن أن يخرج ميّتاً فيكون الإنفاق إضراراً بالورثة. </w:t>
      </w:r>
    </w:p>
    <w:p w14:paraId="150BAE9A" w14:textId="77777777" w:rsidR="00FC4937" w:rsidRDefault="00FC4937" w:rsidP="00FC4937">
      <w:pPr>
        <w:widowControl w:val="0"/>
        <w:bidi/>
        <w:spacing w:after="0" w:line="252" w:lineRule="auto"/>
        <w:ind w:firstLine="284"/>
        <w:jc w:val="both"/>
        <w:rPr>
          <w:rFonts w:cs="Abz-2 (Badr)"/>
          <w:color w:val="0070C0"/>
          <w:sz w:val="28"/>
          <w:szCs w:val="28"/>
          <w:lang w:bidi="ar"/>
        </w:rPr>
      </w:pPr>
      <w:r>
        <w:rPr>
          <w:rFonts w:cs="Abz-2 (Badr)" w:hint="cs"/>
          <w:color w:val="0070C0"/>
          <w:sz w:val="28"/>
          <w:szCs w:val="28"/>
          <w:rtl/>
          <w:lang w:bidi="ar"/>
        </w:rPr>
        <w:t>الجواب: الحمل يعزل له نصيب من تركة الميّت إجماعاً، فإضافة النصيب إليه إضافة صحيحة، وهو يملك ملكاً مشروطاً بوضعه حيّاً.</w:t>
      </w:r>
    </w:p>
    <w:p w14:paraId="7C36001D" w14:textId="77777777" w:rsidR="00FC4937" w:rsidRDefault="00FC4937" w:rsidP="00FC4937">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lastRenderedPageBreak/>
        <w:t>وأمّا إيجاب الإنفاق عليها من نصيب الولد، فإنّه رحمه الله عوّل فيه على ما روي عن محمّد بن فضيل عن أبي الصباح الكناني عن أبي عبدالله(ع)... والشيخ رحمه الله يدّعي على ذلك الإجماع.</w:t>
      </w:r>
    </w:p>
    <w:p w14:paraId="3EAF6540" w14:textId="77777777" w:rsidR="00FC4937" w:rsidRDefault="00FC4937" w:rsidP="00FC4937">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والذي أعتمده أنّه لا نفقة لها.»</w:t>
      </w:r>
      <w:r>
        <w:rPr>
          <w:rStyle w:val="FootnoteReference"/>
          <w:rFonts w:cs="Abz-2 (Badr)"/>
          <w:color w:val="000000" w:themeColor="text1"/>
          <w:sz w:val="28"/>
          <w:szCs w:val="28"/>
          <w:rtl/>
          <w:lang w:bidi="ar"/>
        </w:rPr>
        <w:footnoteReference w:id="20"/>
      </w:r>
    </w:p>
    <w:p w14:paraId="69CC26E2"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rPr>
        <w:t>والظاهر أنّ مراده من نسبة دعوى الإجماع إلى الشيخ في هذه المسألة، هو ما أورده في الخلاف والمبسوط؛ وبذلك يعلم أنّه قد فهم من كلام الشيخ فيهما ما فهمه ابن إدريس</w:t>
      </w:r>
      <w:r>
        <w:rPr>
          <w:rFonts w:cs="Abz-2 (Badr)" w:hint="cs"/>
          <w:color w:val="000000" w:themeColor="text1"/>
          <w:sz w:val="28"/>
          <w:szCs w:val="28"/>
          <w:rtl/>
          <w:lang w:bidi="ar"/>
        </w:rPr>
        <w:t>.</w:t>
      </w:r>
    </w:p>
    <w:p w14:paraId="57FC95C0" w14:textId="77777777" w:rsidR="00FC4937" w:rsidRDefault="00FC4937" w:rsidP="00FC4937">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غير أنّ الجواب الذي ذكره على الإيراد لا ينهض بدفع الإشكال القائل بأنّه كيف تعطى النفقة للأُمّ من مال ولدها مع كونها متمكّنة بوصول سهم إرثها من زوجها إليها؟</w:t>
      </w:r>
    </w:p>
    <w:p w14:paraId="1009C4F0"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rPr>
        <w:t>اللهمّ إلا أن يقال: إنّ النفقة التي تعطى للأُمّ إنّما تعطى لها من جهة کون الولد موجوداً في بطنها، فهي في الحقيقة صرف مال الولد في نفقته هو لا في نفقة أُمّه</w:t>
      </w:r>
      <w:r>
        <w:rPr>
          <w:rFonts w:cs="Abz-2 (Badr)" w:hint="cs"/>
          <w:color w:val="000000" w:themeColor="text1"/>
          <w:sz w:val="28"/>
          <w:szCs w:val="28"/>
          <w:rtl/>
          <w:lang w:bidi="ar"/>
        </w:rPr>
        <w:t>.</w:t>
      </w:r>
    </w:p>
    <w:p w14:paraId="61D4EB06" w14:textId="77777777" w:rsidR="00FC4937" w:rsidRDefault="00FC4937" w:rsidP="00FC4937">
      <w:pPr>
        <w:widowControl w:val="0"/>
        <w:bidi/>
        <w:spacing w:after="0" w:line="252" w:lineRule="auto"/>
        <w:ind w:firstLine="284"/>
        <w:jc w:val="both"/>
        <w:rPr>
          <w:rFonts w:cs="Abz-2 (Badr)" w:hint="cs"/>
          <w:color w:val="000000" w:themeColor="text1"/>
          <w:sz w:val="28"/>
          <w:szCs w:val="28"/>
          <w:rtl/>
          <w:lang w:bidi="ar"/>
        </w:rPr>
      </w:pPr>
      <w:r>
        <w:rPr>
          <w:rFonts w:cs="Abz-2 (Badr)" w:hint="cs"/>
          <w:color w:val="000000" w:themeColor="text1"/>
          <w:sz w:val="28"/>
          <w:szCs w:val="28"/>
          <w:rtl/>
        </w:rPr>
        <w:t>ولكن على هذا الأساس ينبغي القول بأنّ الزائد على نفقة الأُمّ ـ ممّا كانت تحتاج إليه في معيشتها لو كانت حائلاً ـ يدفع إليها من مال الولد، لا جميع نفقتها.</w:t>
      </w:r>
    </w:p>
    <w:p w14:paraId="40493C17" w14:textId="77777777" w:rsidR="00FC4937" w:rsidRDefault="00FC4937" w:rsidP="00FC4937">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فالأولى أن يقال: إنّ القائلين بالقول الأوّل قد التزموا به تعبّداً وعملاً بالأخبار الواردة فيه، فلا يلزمهم التكلّف في توجيه هذا الحكم. وكلام المحقّق في شرح النهاية من أنّ الشيخ إنّما ذهب إلی وجوب دفع نفقة الأُمّ من سهم الحمل من الإرث لورود رواية دالّة عليه، ناظر أيضاً إلى هذا المعنى</w:t>
      </w:r>
      <w:r>
        <w:rPr>
          <w:rFonts w:cs="Abz-2 (Badr)" w:hint="cs"/>
          <w:color w:val="000000" w:themeColor="text1"/>
          <w:sz w:val="28"/>
          <w:szCs w:val="28"/>
          <w:rtl/>
          <w:lang w:bidi="ar"/>
        </w:rPr>
        <w:t>.</w:t>
      </w:r>
    </w:p>
    <w:p w14:paraId="5493224F" w14:textId="77777777" w:rsidR="00FC4937" w:rsidRDefault="00FC4937" w:rsidP="00FC4937">
      <w:pPr>
        <w:widowControl w:val="0"/>
        <w:bidi/>
        <w:spacing w:after="0"/>
        <w:ind w:firstLine="284"/>
        <w:jc w:val="both"/>
        <w:rPr>
          <w:rFonts w:cs="Abz-2 (Badr)" w:hint="cs"/>
          <w:color w:val="000000" w:themeColor="text1"/>
          <w:sz w:val="28"/>
          <w:szCs w:val="28"/>
          <w:rtl/>
          <w:lang w:bidi="ar"/>
        </w:rPr>
      </w:pPr>
      <w:r>
        <w:rPr>
          <w:rFonts w:cs="Abz-2 (Badr)" w:hint="cs"/>
          <w:color w:val="000000" w:themeColor="text1"/>
          <w:sz w:val="28"/>
          <w:szCs w:val="28"/>
          <w:rtl/>
        </w:rPr>
        <w:t>وفي الجلسة القادمة سنتعرّض لبحث الأخبار الواردة في المسألة إن شاء الله تعالى</w:t>
      </w:r>
      <w:r>
        <w:rPr>
          <w:rFonts w:cs="Abz-2 (Badr)" w:hint="cs"/>
          <w:color w:val="000000" w:themeColor="text1"/>
          <w:sz w:val="28"/>
          <w:szCs w:val="28"/>
          <w:rtl/>
          <w:lang w:bidi="ar"/>
        </w:rPr>
        <w:t>.</w:t>
      </w:r>
    </w:p>
    <w:p w14:paraId="2B981661" w14:textId="77777777" w:rsidR="00FC4937" w:rsidRDefault="00FC4937" w:rsidP="00FC4937">
      <w:pPr>
        <w:widowControl w:val="0"/>
        <w:bidi/>
        <w:spacing w:after="0"/>
        <w:ind w:firstLine="284"/>
        <w:jc w:val="both"/>
        <w:rPr>
          <w:rFonts w:cs="Abz-2 (Badr)" w:hint="cs"/>
          <w:color w:val="000000" w:themeColor="text1"/>
          <w:sz w:val="28"/>
          <w:szCs w:val="28"/>
          <w:rtl/>
          <w:lang w:bidi="ar"/>
        </w:rPr>
      </w:pPr>
    </w:p>
    <w:p w14:paraId="2AD04477" w14:textId="7D63A4A4" w:rsidR="00B706A3" w:rsidRPr="00FC4937" w:rsidRDefault="00B706A3" w:rsidP="00FC4937">
      <w:pPr>
        <w:rPr>
          <w:rtl/>
        </w:rPr>
      </w:pPr>
    </w:p>
    <w:sectPr w:rsidR="00B706A3" w:rsidRPr="00FC4937"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EAC5A" w14:textId="77777777" w:rsidR="006A75EC" w:rsidRDefault="006A75EC" w:rsidP="00F71127">
      <w:pPr>
        <w:spacing w:after="0" w:line="240" w:lineRule="auto"/>
      </w:pPr>
      <w:r>
        <w:separator/>
      </w:r>
    </w:p>
  </w:endnote>
  <w:endnote w:type="continuationSeparator" w:id="0">
    <w:p w14:paraId="2F43C690" w14:textId="77777777" w:rsidR="006A75EC" w:rsidRDefault="006A75E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13AF" w14:textId="77777777" w:rsidR="00A27664" w:rsidRDefault="00A27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C7FD" w14:textId="77777777" w:rsidR="00A27664" w:rsidRDefault="00A27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2A7F" w14:textId="77777777" w:rsidR="006A75EC" w:rsidRDefault="006A75EC" w:rsidP="00EE25C0">
      <w:pPr>
        <w:bidi/>
        <w:spacing w:after="0" w:line="240" w:lineRule="auto"/>
      </w:pPr>
      <w:r>
        <w:separator/>
      </w:r>
    </w:p>
  </w:footnote>
  <w:footnote w:type="continuationSeparator" w:id="0">
    <w:p w14:paraId="442845F5" w14:textId="77777777" w:rsidR="006A75EC" w:rsidRDefault="006A75EC" w:rsidP="00F71127">
      <w:pPr>
        <w:bidi/>
        <w:spacing w:after="0" w:line="240" w:lineRule="auto"/>
      </w:pPr>
      <w:r>
        <w:continuationSeparator/>
      </w:r>
    </w:p>
  </w:footnote>
  <w:footnote w:id="1">
    <w:p w14:paraId="049F4D60"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شرائع الإسلام</w:t>
      </w:r>
      <w:r>
        <w:rPr>
          <w:rFonts w:cs="Abz-2 (Badr)" w:hint="cs"/>
          <w:rtl/>
          <w:lang w:bidi="fa-IR"/>
        </w:rPr>
        <w:t>،ج2،ص293.</w:t>
      </w:r>
    </w:p>
  </w:footnote>
  <w:footnote w:id="2">
    <w:p w14:paraId="6E680FF3"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من لا يحضره الفقيه</w:t>
      </w:r>
      <w:r>
        <w:rPr>
          <w:rFonts w:cs="Abz-2 (Badr)" w:hint="cs"/>
          <w:rtl/>
          <w:lang w:bidi="fa-IR"/>
        </w:rPr>
        <w:t>،ج3،ص510، ذيل ح4790.</w:t>
      </w:r>
    </w:p>
  </w:footnote>
  <w:footnote w:id="3">
    <w:p w14:paraId="2938C056"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 الشيعة</w:t>
      </w:r>
      <w:r>
        <w:rPr>
          <w:rFonts w:cs="Abz-2 (Badr)" w:hint="cs"/>
          <w:rtl/>
          <w:lang w:bidi="fa-IR"/>
        </w:rPr>
        <w:t>،ج7،ص475.</w:t>
      </w:r>
    </w:p>
  </w:footnote>
  <w:footnote w:id="4">
    <w:p w14:paraId="01375BD1"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النهاية في مجرد الفقه والفتاوی</w:t>
      </w:r>
      <w:r>
        <w:rPr>
          <w:rFonts w:cs="Abz-2 (Badr)" w:hint="cs"/>
          <w:rtl/>
          <w:lang w:bidi="fa-IR"/>
        </w:rPr>
        <w:t>،ص537.</w:t>
      </w:r>
    </w:p>
  </w:footnote>
  <w:footnote w:id="5">
    <w:p w14:paraId="43CA19B9"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 في الفقه</w:t>
      </w:r>
      <w:r>
        <w:rPr>
          <w:rFonts w:cs="Abz-2 (Badr)" w:hint="cs"/>
          <w:rtl/>
          <w:lang w:bidi="fa-IR"/>
        </w:rPr>
        <w:t>،ص313.</w:t>
      </w:r>
    </w:p>
  </w:footnote>
  <w:footnote w:id="6">
    <w:p w14:paraId="3B499BE9"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w:t>
      </w:r>
      <w:r>
        <w:rPr>
          <w:rFonts w:cs="Abz-2 (Badr)" w:hint="cs"/>
          <w:rtl/>
          <w:lang w:bidi="fa-IR"/>
        </w:rPr>
        <w:t>،ج2،ص319 ـ غنية النزوع،ج1،ص385 ـ الوسيلة،ص329.</w:t>
      </w:r>
    </w:p>
  </w:footnote>
  <w:footnote w:id="7">
    <w:p w14:paraId="11EF0673"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w:t>
      </w:r>
      <w:r>
        <w:rPr>
          <w:rFonts w:cs="Abz-2 (Badr)" w:hint="cs"/>
          <w:rtl/>
          <w:lang w:bidi="fa-IR"/>
        </w:rPr>
        <w:t>،ج5،ص251.</w:t>
      </w:r>
    </w:p>
  </w:footnote>
  <w:footnote w:id="8">
    <w:p w14:paraId="19D72439"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w:t>
      </w:r>
      <w:r>
        <w:rPr>
          <w:rFonts w:cs="Abz-2 (Badr)" w:hint="cs"/>
          <w:rtl/>
          <w:lang w:bidi="fa-IR"/>
        </w:rPr>
        <w:t>،ج5،ص68 و 69.</w:t>
      </w:r>
    </w:p>
  </w:footnote>
  <w:footnote w:id="9">
    <w:p w14:paraId="6D956C41"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السرائر</w:t>
      </w:r>
      <w:r>
        <w:rPr>
          <w:rFonts w:cs="Abz-2 (Badr)" w:hint="cs"/>
          <w:rtl/>
          <w:lang w:bidi="fa-IR"/>
        </w:rPr>
        <w:t>،ج2،ص738.</w:t>
      </w:r>
    </w:p>
  </w:footnote>
  <w:footnote w:id="10">
    <w:p w14:paraId="1866F9BE"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النهاية ونکتها</w:t>
      </w:r>
      <w:r>
        <w:rPr>
          <w:rFonts w:cs="Abz-2 (Badr)" w:hint="cs"/>
          <w:rtl/>
          <w:lang w:bidi="fa-IR"/>
        </w:rPr>
        <w:t>،ج2،ص489.</w:t>
      </w:r>
    </w:p>
  </w:footnote>
  <w:footnote w:id="11">
    <w:p w14:paraId="4187B8E1"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شرائع الإسلام</w:t>
      </w:r>
      <w:r>
        <w:rPr>
          <w:rFonts w:cs="Abz-2 (Badr)" w:hint="cs"/>
          <w:rtl/>
          <w:lang w:bidi="fa-IR"/>
        </w:rPr>
        <w:t>،ج2،ص293.</w:t>
      </w:r>
    </w:p>
  </w:footnote>
  <w:footnote w:id="12">
    <w:p w14:paraId="0ECC54D3"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من لا يحضره الفقيه</w:t>
      </w:r>
      <w:r>
        <w:rPr>
          <w:rFonts w:cs="Abz-2 (Badr)" w:hint="cs"/>
          <w:rtl/>
          <w:lang w:bidi="fa-IR"/>
        </w:rPr>
        <w:t>،ج3،ص510، ذيل ح4790.</w:t>
      </w:r>
    </w:p>
  </w:footnote>
  <w:footnote w:id="13">
    <w:p w14:paraId="4FDEE843"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 الشيعة</w:t>
      </w:r>
      <w:r>
        <w:rPr>
          <w:rFonts w:cs="Abz-2 (Badr)" w:hint="cs"/>
          <w:rtl/>
          <w:lang w:bidi="fa-IR"/>
        </w:rPr>
        <w:t>،ج7،ص475.</w:t>
      </w:r>
    </w:p>
  </w:footnote>
  <w:footnote w:id="14">
    <w:p w14:paraId="3581225D"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النهاية في مجرد الفقه والفتاوی</w:t>
      </w:r>
      <w:r>
        <w:rPr>
          <w:rFonts w:cs="Abz-2 (Badr)" w:hint="cs"/>
          <w:rtl/>
          <w:lang w:bidi="fa-IR"/>
        </w:rPr>
        <w:t>،ص537.</w:t>
      </w:r>
    </w:p>
  </w:footnote>
  <w:footnote w:id="15">
    <w:p w14:paraId="36102353"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 في الفقه</w:t>
      </w:r>
      <w:r>
        <w:rPr>
          <w:rFonts w:cs="Abz-2 (Badr)" w:hint="cs"/>
          <w:rtl/>
          <w:lang w:bidi="fa-IR"/>
        </w:rPr>
        <w:t>،ص313.</w:t>
      </w:r>
    </w:p>
  </w:footnote>
  <w:footnote w:id="16">
    <w:p w14:paraId="24280351"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w:t>
      </w:r>
      <w:r>
        <w:rPr>
          <w:rFonts w:cs="Abz-2 (Badr)" w:hint="cs"/>
          <w:rtl/>
          <w:lang w:bidi="fa-IR"/>
        </w:rPr>
        <w:t>،ج2،ص319 ـ غنية النزوع،ج1،ص385 ـ الوسيلة،ص329.</w:t>
      </w:r>
    </w:p>
  </w:footnote>
  <w:footnote w:id="17">
    <w:p w14:paraId="2E13FDF0"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w:t>
      </w:r>
      <w:r>
        <w:rPr>
          <w:rFonts w:cs="Abz-2 (Badr)" w:hint="cs"/>
          <w:rtl/>
          <w:lang w:bidi="fa-IR"/>
        </w:rPr>
        <w:t>،ج5،ص251.</w:t>
      </w:r>
    </w:p>
  </w:footnote>
  <w:footnote w:id="18">
    <w:p w14:paraId="5001ACEA"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w:t>
      </w:r>
      <w:r>
        <w:rPr>
          <w:rFonts w:cs="Abz-2 (Badr)" w:hint="cs"/>
          <w:rtl/>
          <w:lang w:bidi="fa-IR"/>
        </w:rPr>
        <w:t>،ج5،ص68 و 69.</w:t>
      </w:r>
    </w:p>
  </w:footnote>
  <w:footnote w:id="19">
    <w:p w14:paraId="6B5366D8"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السرائر</w:t>
      </w:r>
      <w:r>
        <w:rPr>
          <w:rFonts w:cs="Abz-2 (Badr)" w:hint="cs"/>
          <w:rtl/>
          <w:lang w:bidi="fa-IR"/>
        </w:rPr>
        <w:t>،ج2،ص738.</w:t>
      </w:r>
    </w:p>
  </w:footnote>
  <w:footnote w:id="20">
    <w:p w14:paraId="799D6480" w14:textId="77777777" w:rsidR="00FC4937" w:rsidRDefault="00FC4937" w:rsidP="00FC4937">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النهاية ونکتها</w:t>
      </w:r>
      <w:r>
        <w:rPr>
          <w:rFonts w:cs="Abz-2 (Badr)" w:hint="cs"/>
          <w:rtl/>
          <w:lang w:bidi="fa-IR"/>
        </w:rPr>
        <w:t>،ج2،ص489.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E96D" w14:textId="77777777" w:rsidR="00A27664" w:rsidRDefault="00A276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669ACC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FC4937">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FC4937">
                            <w:rPr>
                              <w:rFonts w:cs="B Mehr" w:hint="cs"/>
                              <w:rtl/>
                              <w:lang w:bidi="fa-IR"/>
                            </w:rPr>
                            <w:t>19</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5669ACCF"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F60C09">
                      <w:rPr>
                        <w:rFonts w:cs="B Mehr" w:hint="cs"/>
                        <w:rtl/>
                        <w:lang w:bidi="fa-IR"/>
                      </w:rPr>
                      <w:t xml:space="preserve"> </w:t>
                    </w:r>
                    <w:r w:rsidR="00FC4937">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FC4937">
                      <w:rPr>
                        <w:rFonts w:cs="B Mehr" w:hint="cs"/>
                        <w:rtl/>
                        <w:lang w:bidi="fa-IR"/>
                      </w:rPr>
                      <w:t>19</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60E1" w14:textId="77777777" w:rsidR="00A27664" w:rsidRDefault="00A276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656</cp:revision>
  <cp:lastPrinted>2025-04-14T09:12:00Z</cp:lastPrinted>
  <dcterms:created xsi:type="dcterms:W3CDTF">2022-10-16T08:36:00Z</dcterms:created>
  <dcterms:modified xsi:type="dcterms:W3CDTF">2025-11-10T08:05:00Z</dcterms:modified>
</cp:coreProperties>
</file>