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99D7F" w14:textId="77777777" w:rsidR="004B64CB" w:rsidRDefault="004B64CB" w:rsidP="004B64CB">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282BE67B" w14:textId="77777777" w:rsidR="004B64CB" w:rsidRDefault="004B64CB" w:rsidP="004B64CB">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3735D241" w14:textId="77777777" w:rsidR="004B64CB" w:rsidRDefault="004B64CB" w:rsidP="004B64CB">
      <w:pPr>
        <w:widowControl w:val="0"/>
        <w:bidi/>
        <w:spacing w:after="0"/>
        <w:jc w:val="center"/>
        <w:rPr>
          <w:rFonts w:cs="B Mitra" w:hint="cs"/>
          <w:b/>
          <w:bCs/>
          <w:sz w:val="32"/>
          <w:szCs w:val="32"/>
          <w:rtl/>
          <w:lang w:bidi="fa-IR"/>
        </w:rPr>
      </w:pPr>
      <w:r>
        <w:rPr>
          <w:rFonts w:cs="B Mitra" w:hint="cs"/>
          <w:b/>
          <w:bCs/>
          <w:sz w:val="32"/>
          <w:szCs w:val="32"/>
          <w:rtl/>
          <w:lang w:bidi="fa-IR"/>
        </w:rPr>
        <w:t>جلسه 867</w:t>
      </w:r>
    </w:p>
    <w:p w14:paraId="26CFCBBA" w14:textId="77777777" w:rsidR="004B64CB" w:rsidRDefault="004B64CB" w:rsidP="004B64CB">
      <w:pPr>
        <w:widowControl w:val="0"/>
        <w:bidi/>
        <w:spacing w:after="0"/>
        <w:ind w:firstLine="284"/>
        <w:jc w:val="both"/>
        <w:rPr>
          <w:rFonts w:cs="Abz-2 (Badr)" w:hint="cs"/>
          <w:sz w:val="28"/>
          <w:szCs w:val="28"/>
          <w:rtl/>
          <w:lang w:bidi="fa-IR"/>
        </w:rPr>
      </w:pPr>
      <w:bookmarkStart w:id="0" w:name="_Hlk159096966"/>
    </w:p>
    <w:bookmarkEnd w:id="0"/>
    <w:p w14:paraId="0CC75652" w14:textId="77777777" w:rsidR="004B64CB" w:rsidRDefault="004B64CB" w:rsidP="004B64CB">
      <w:pPr>
        <w:widowControl w:val="0"/>
        <w:bidi/>
        <w:spacing w:after="0" w:line="249" w:lineRule="auto"/>
        <w:ind w:firstLine="284"/>
        <w:jc w:val="both"/>
        <w:rPr>
          <w:rFonts w:cs="Abz-2 (Badr)" w:hint="cs"/>
          <w:color w:val="000000" w:themeColor="text1"/>
          <w:sz w:val="28"/>
          <w:szCs w:val="28"/>
          <w:rtl/>
          <w:lang w:bidi="fa-IR"/>
        </w:rPr>
      </w:pPr>
      <w:r>
        <w:rPr>
          <w:rFonts w:cs="Abz-2 (Badr)" w:hint="cs"/>
          <w:color w:val="00B050"/>
          <w:sz w:val="28"/>
          <w:szCs w:val="28"/>
          <w:rtl/>
          <w:lang w:bidi="fa-IR"/>
        </w:rPr>
        <w:t>فرع سوم:</w:t>
      </w:r>
      <w:r>
        <w:rPr>
          <w:rFonts w:cs="Abz-2 (Badr)" w:hint="cs"/>
          <w:color w:val="000000" w:themeColor="text1"/>
          <w:sz w:val="28"/>
          <w:szCs w:val="28"/>
          <w:rtl/>
          <w:lang w:bidi="fa-IR"/>
        </w:rPr>
        <w:t xml:space="preserve"> آيا در استحقاق مطلقه رجعيه برای نفقه فرقی بين اقسام زوجه وجود دارد؟</w:t>
      </w:r>
    </w:p>
    <w:p w14:paraId="564740A9" w14:textId="77777777" w:rsidR="004B64CB" w:rsidRDefault="004B64CB" w:rsidP="004B64CB">
      <w:pPr>
        <w:widowControl w:val="0"/>
        <w:bidi/>
        <w:spacing w:after="0" w:line="249"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شهيد ثانی در اين خصوص فرموده است: </w:t>
      </w:r>
      <w:r>
        <w:rPr>
          <w:rFonts w:cs="Abz-2 (Badr)" w:hint="cs"/>
          <w:color w:val="0070C0"/>
          <w:sz w:val="28"/>
          <w:szCs w:val="28"/>
          <w:rtl/>
          <w:lang w:bidi="fa-IR"/>
        </w:rPr>
        <w:t>«</w:t>
      </w:r>
      <w:r>
        <w:rPr>
          <w:rFonts w:cs="Abz-2 (Badr)" w:hint="cs"/>
          <w:color w:val="0070C0"/>
          <w:sz w:val="28"/>
          <w:szCs w:val="28"/>
          <w:rtl/>
          <w:lang w:bidi="ar"/>
        </w:rPr>
        <w:t>لا فرق بين أن تكون أمة وحرّة، حائلاً وحاملاً. ولا تسقط نفقتها إلا بما تسقط به نفقة الزوجات، لأنّ حكم الزوجيّة باقٍ عليها في ذلك. ويستمرّ إلى انقضاء العدّة بوضع الحمل أو غيره.»</w:t>
      </w:r>
      <w:r>
        <w:rPr>
          <w:rStyle w:val="FootnoteReference"/>
          <w:rFonts w:cs="Abz-2 (Badr)"/>
          <w:color w:val="000000" w:themeColor="text1"/>
          <w:sz w:val="28"/>
          <w:szCs w:val="28"/>
          <w:rtl/>
          <w:lang w:bidi="ar"/>
        </w:rPr>
        <w:footnoteReference w:id="1"/>
      </w:r>
    </w:p>
    <w:p w14:paraId="06886811" w14:textId="77777777" w:rsidR="004B64CB" w:rsidRDefault="004B64CB" w:rsidP="004B64CB">
      <w:pPr>
        <w:widowControl w:val="0"/>
        <w:bidi/>
        <w:spacing w:after="0" w:line="249"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حق نيز در اين مطالب با ايشان است و دليل آن اطلاقات و عمومات ادله نفقه و سائر ادله است.</w:t>
      </w:r>
    </w:p>
    <w:p w14:paraId="3A0D1165" w14:textId="77777777" w:rsidR="004B64CB" w:rsidRDefault="004B64CB" w:rsidP="004B64CB">
      <w:pPr>
        <w:widowControl w:val="0"/>
        <w:bidi/>
        <w:spacing w:after="0" w:line="249" w:lineRule="auto"/>
        <w:ind w:firstLine="284"/>
        <w:jc w:val="both"/>
        <w:rPr>
          <w:rFonts w:cs="Abz-2 (Badr)" w:hint="cs"/>
          <w:color w:val="000000" w:themeColor="text1"/>
          <w:sz w:val="28"/>
          <w:szCs w:val="28"/>
          <w:rtl/>
          <w:lang w:bidi="fa-IR"/>
        </w:rPr>
      </w:pPr>
      <w:r>
        <w:rPr>
          <w:rFonts w:cs="Abz-2 (Badr)" w:hint="cs"/>
          <w:color w:val="00B050"/>
          <w:sz w:val="28"/>
          <w:szCs w:val="28"/>
          <w:rtl/>
          <w:lang w:bidi="fa-IR"/>
        </w:rPr>
        <w:t xml:space="preserve">فرع چهارم: </w:t>
      </w:r>
      <w:r>
        <w:rPr>
          <w:rFonts w:cs="Abz-2 (Badr)" w:hint="cs"/>
          <w:color w:val="000000" w:themeColor="text1"/>
          <w:sz w:val="28"/>
          <w:szCs w:val="28"/>
          <w:rtl/>
          <w:lang w:bidi="fa-IR"/>
        </w:rPr>
        <w:t>در صورتی که شک در حامل بودن مطلقه رجعيه وجود داشته باشد، تکليف چيست؟</w:t>
      </w:r>
    </w:p>
    <w:p w14:paraId="22611288" w14:textId="77777777" w:rsidR="004B64CB" w:rsidRDefault="004B64CB" w:rsidP="004B64C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اصل اين مسأله که در صورت شک در وجود حمل تکليف چيست و اگر به زوجه به جهت حمل، نفقه</w:t>
      </w:r>
      <w:r>
        <w:rPr>
          <w:rFonts w:cs="Abz-2 (Badr)" w:hint="cs"/>
          <w:color w:val="000000" w:themeColor="text1"/>
          <w:sz w:val="28"/>
          <w:szCs w:val="28"/>
          <w:rtl/>
          <w:lang w:bidi="fa-IR"/>
        </w:rPr>
        <w:softHyphen/>
        <w:t>ای پرداخت شد و بعداً خلاف آن معلوم شد، می</w:t>
      </w:r>
      <w:r>
        <w:rPr>
          <w:rFonts w:cs="Abz-2 (Badr)" w:hint="cs"/>
          <w:color w:val="000000" w:themeColor="text1"/>
          <w:sz w:val="28"/>
          <w:szCs w:val="28"/>
          <w:rtl/>
          <w:lang w:bidi="fa-IR"/>
        </w:rPr>
        <w:softHyphen/>
        <w:t>توان آن را از وی بازپس گرفت، در ضمن فروعی که محقق در ادامه مطرح کرده است، خواهد آمد.</w:t>
      </w:r>
    </w:p>
    <w:p w14:paraId="01109FC9" w14:textId="77777777" w:rsidR="004B64CB" w:rsidRDefault="004B64CB" w:rsidP="004B64CB">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مسأله</w:t>
      </w:r>
      <w:r>
        <w:rPr>
          <w:rFonts w:cs="Abz-2 (Badr)" w:hint="cs"/>
          <w:color w:val="000000" w:themeColor="text1"/>
          <w:sz w:val="28"/>
          <w:szCs w:val="28"/>
          <w:rtl/>
          <w:lang w:bidi="fa-IR"/>
        </w:rPr>
        <w:softHyphen/>
        <w:t>ای که در اينجا به آن می</w:t>
      </w:r>
      <w:r>
        <w:rPr>
          <w:rFonts w:cs="Abz-2 (Badr)" w:hint="cs"/>
          <w:color w:val="000000" w:themeColor="text1"/>
          <w:sz w:val="28"/>
          <w:szCs w:val="28"/>
          <w:rtl/>
          <w:lang w:bidi="fa-IR"/>
        </w:rPr>
        <w:softHyphen/>
        <w:t>پردازيم اين است که اگر به مطلقه رجعيه به عنوان اين که حامل است، نفقه پرداخت شد و بعداً معلوم شد که حامل نبوده است و زوج در صدد بازپس گرفتن نفقه</w:t>
      </w:r>
      <w:r>
        <w:rPr>
          <w:rFonts w:cs="Abz-2 (Badr)" w:hint="cs"/>
          <w:color w:val="000000" w:themeColor="text1"/>
          <w:sz w:val="28"/>
          <w:szCs w:val="28"/>
          <w:rtl/>
          <w:lang w:bidi="fa-IR"/>
        </w:rPr>
        <w:softHyphen/>
        <w:t>ای برآمد که به عنوان حامل به او پرداخته است، از آنجا که مطلقه رجعيه تا پايان عده استحقاق نفقه را داراست، زمان پايان عده او را چگونه بايد محاسبه نمايد؟</w:t>
      </w:r>
    </w:p>
    <w:p w14:paraId="75CE9438" w14:textId="77777777" w:rsidR="004B64CB" w:rsidRDefault="004B64CB" w:rsidP="004B64CB">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شهيد ثانی در اين خصوص فرموده است: </w:t>
      </w:r>
      <w:r>
        <w:rPr>
          <w:rFonts w:cs="Abz-2 (Badr)" w:hint="cs"/>
          <w:color w:val="0070C0"/>
          <w:sz w:val="28"/>
          <w:szCs w:val="28"/>
          <w:rtl/>
          <w:lang w:bidi="fa-IR"/>
        </w:rPr>
        <w:t>«</w:t>
      </w:r>
      <w:r>
        <w:rPr>
          <w:rFonts w:cs="Abz-2 (Badr)" w:hint="cs"/>
          <w:color w:val="0070C0"/>
          <w:sz w:val="28"/>
          <w:szCs w:val="28"/>
          <w:rtl/>
          <w:lang w:bidi="ar"/>
        </w:rPr>
        <w:t>تسأل عن قدر الأقراء إن اتّفق، فإن عيّنت قدراً صدّقت باليمين إن كذّبها الزوج، وبلا يمين إن صدّقها.</w:t>
      </w:r>
    </w:p>
    <w:p w14:paraId="11191D03" w14:textId="77777777" w:rsidR="004B64CB" w:rsidRDefault="004B64CB" w:rsidP="004B64CB">
      <w:pPr>
        <w:widowControl w:val="0"/>
        <w:bidi/>
        <w:spacing w:after="0" w:line="261" w:lineRule="auto"/>
        <w:ind w:firstLine="284"/>
        <w:jc w:val="both"/>
        <w:rPr>
          <w:rFonts w:cs="Abz-2 (Badr)" w:hint="cs"/>
          <w:color w:val="0070C0"/>
          <w:sz w:val="28"/>
          <w:szCs w:val="28"/>
          <w:rtl/>
          <w:lang w:bidi="ar"/>
        </w:rPr>
      </w:pPr>
      <w:r>
        <w:rPr>
          <w:rFonts w:cs="Abz-2 (Badr)" w:hint="cs"/>
          <w:color w:val="0070C0"/>
          <w:sz w:val="28"/>
          <w:szCs w:val="28"/>
          <w:rtl/>
          <w:lang w:bidi="ar"/>
        </w:rPr>
        <w:lastRenderedPageBreak/>
        <w:t>وإن قالت: لا أعلم متى انقضت عدّتي، سئلت عن عادة حيضها وطهرها، فإن ذكرت عادة مضبوطة، بنينا الأمر على قولها. وإن ذكرت أنّها مختلفة، أخذنا بأقلّ‌ عادتها ورجع الزوج فيما زاد، فإنّه المتيقّن وهي لا تدّعي زيادة عليه.</w:t>
      </w:r>
    </w:p>
    <w:p w14:paraId="0B7AB411" w14:textId="77777777" w:rsidR="004B64CB" w:rsidRDefault="004B64CB" w:rsidP="004B64CB">
      <w:pPr>
        <w:widowControl w:val="0"/>
        <w:bidi/>
        <w:spacing w:after="0" w:line="261" w:lineRule="auto"/>
        <w:ind w:firstLine="284"/>
        <w:jc w:val="both"/>
        <w:rPr>
          <w:rFonts w:cs="Abz-2 (Badr)" w:hint="cs"/>
          <w:color w:val="0070C0"/>
          <w:sz w:val="28"/>
          <w:szCs w:val="28"/>
          <w:rtl/>
          <w:lang w:bidi="ar"/>
        </w:rPr>
      </w:pPr>
      <w:r>
        <w:rPr>
          <w:rFonts w:cs="Abz-2 (Badr)" w:hint="cs"/>
          <w:color w:val="0070C0"/>
          <w:sz w:val="28"/>
          <w:szCs w:val="28"/>
          <w:rtl/>
          <w:lang w:bidi="ar"/>
        </w:rPr>
        <w:t>وإن قالت: نسيت عادتي، ففي البناء على أقلّ‌ ما يمكن انقضاء العدّة به لأصالة البراءة من الزائد، أو على ثلاثة أشهر بناءً على الغالب، وجهان منشؤهما تعارض الأصلين، إذ الأصل بقاء العدّة أيضاً إلى أن يثبت الانقضاء.</w:t>
      </w:r>
    </w:p>
    <w:p w14:paraId="7D5A9796" w14:textId="77777777" w:rsidR="004B64CB" w:rsidRDefault="004B64CB" w:rsidP="004B64CB">
      <w:pPr>
        <w:widowControl w:val="0"/>
        <w:bidi/>
        <w:spacing w:after="0" w:line="261" w:lineRule="auto"/>
        <w:ind w:firstLine="284"/>
        <w:jc w:val="both"/>
        <w:rPr>
          <w:rFonts w:cs="Abz-2 (Badr)" w:hint="cs"/>
          <w:color w:val="0070C0"/>
          <w:sz w:val="28"/>
          <w:szCs w:val="28"/>
          <w:rtl/>
          <w:lang w:bidi="ar"/>
        </w:rPr>
      </w:pPr>
      <w:r>
        <w:rPr>
          <w:rFonts w:cs="Abz-2 (Badr)" w:hint="cs"/>
          <w:color w:val="0070C0"/>
          <w:sz w:val="28"/>
          <w:szCs w:val="28"/>
          <w:rtl/>
          <w:lang w:bidi="ar"/>
        </w:rPr>
        <w:t>ويعتضد الثاني بالظاهر والمتيقّن هو الأوّل.»</w:t>
      </w:r>
      <w:r>
        <w:rPr>
          <w:rStyle w:val="FootnoteReference"/>
          <w:rFonts w:cs="Abz-2 (Badr)"/>
          <w:color w:val="000000" w:themeColor="text1"/>
          <w:sz w:val="28"/>
          <w:szCs w:val="28"/>
          <w:rtl/>
          <w:lang w:bidi="ar"/>
        </w:rPr>
        <w:footnoteReference w:id="2"/>
      </w:r>
    </w:p>
    <w:p w14:paraId="1776442A" w14:textId="77777777" w:rsidR="004B64CB" w:rsidRDefault="004B64CB" w:rsidP="004B64CB">
      <w:pPr>
        <w:widowControl w:val="0"/>
        <w:bidi/>
        <w:spacing w:after="0" w:line="261" w:lineRule="auto"/>
        <w:ind w:firstLine="284"/>
        <w:jc w:val="both"/>
        <w:rPr>
          <w:rFonts w:cs="Abz-2 (Badr)" w:hint="cs"/>
          <w:color w:val="000000" w:themeColor="text1"/>
          <w:spacing w:val="-4"/>
          <w:sz w:val="28"/>
          <w:szCs w:val="28"/>
          <w:rtl/>
          <w:lang w:bidi="ar"/>
        </w:rPr>
      </w:pPr>
      <w:r>
        <w:rPr>
          <w:rFonts w:cs="Abz-2 (Badr)" w:hint="cs"/>
          <w:color w:val="000000" w:themeColor="text1"/>
          <w:spacing w:val="-4"/>
          <w:sz w:val="28"/>
          <w:szCs w:val="28"/>
          <w:rtl/>
          <w:lang w:bidi="ar"/>
        </w:rPr>
        <w:t>اما اشکال فرمايش ايشان اين است که چنانچه زوجه ادعا کند که عادت او مضبوط نبوده است، نمی</w:t>
      </w:r>
      <w:r>
        <w:rPr>
          <w:rFonts w:cs="Abz-2 (Badr)" w:hint="cs"/>
          <w:color w:val="000000" w:themeColor="text1"/>
          <w:spacing w:val="-4"/>
          <w:sz w:val="28"/>
          <w:szCs w:val="28"/>
          <w:rtl/>
          <w:lang w:bidi="ar"/>
        </w:rPr>
        <w:softHyphen/>
        <w:t>توان به اقل آن اکتفاء نمود، زيرا با وجود جريان استصحاب موضوعی و نيز حکمی، نوبت به جريان برائت نمی</w:t>
      </w:r>
      <w:r>
        <w:rPr>
          <w:rFonts w:cs="Abz-2 (Badr)" w:hint="cs"/>
          <w:color w:val="000000" w:themeColor="text1"/>
          <w:spacing w:val="-4"/>
          <w:sz w:val="28"/>
          <w:szCs w:val="28"/>
          <w:rtl/>
          <w:lang w:bidi="ar"/>
        </w:rPr>
        <w:softHyphen/>
        <w:t>رسد. بنابر اين با استصحاب بقاء عده تا اقصی مدتی که امکان آن وجود دارد، بر مطلق واجب است که نفقه زن را تا پايان آن مدت به وی بپردازد.</w:t>
      </w:r>
    </w:p>
    <w:p w14:paraId="2F21BDAD" w14:textId="77777777" w:rsidR="004B64CB" w:rsidRDefault="004B64CB" w:rsidP="004B64CB">
      <w:pPr>
        <w:widowControl w:val="0"/>
        <w:bidi/>
        <w:spacing w:after="0" w:line="261"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اين که مطلقه رجعيه مطالبه</w:t>
      </w:r>
      <w:r>
        <w:rPr>
          <w:rFonts w:cs="Abz-2 (Badr)" w:hint="cs"/>
          <w:color w:val="000000" w:themeColor="text1"/>
          <w:sz w:val="28"/>
          <w:szCs w:val="28"/>
          <w:rtl/>
          <w:lang w:bidi="ar"/>
        </w:rPr>
        <w:softHyphen/>
        <w:t>ای نسبت به زائد بر اقل مقدار عده ندارد، مدعای صحيحی نيست، زيرا مطالبه مطلقه رجعيه برای نفقه، تا انقضای زمان عده است و عدم علم وی به زمان انقضای عده، ملازمه با عدم مطالبه نفقه زائد بر اقل مقدار عده ندارد.</w:t>
      </w:r>
    </w:p>
    <w:p w14:paraId="3C765516" w14:textId="77777777" w:rsidR="004B64CB" w:rsidRDefault="004B64CB" w:rsidP="004B64CB">
      <w:pPr>
        <w:widowControl w:val="0"/>
        <w:bidi/>
        <w:spacing w:after="0" w:line="261"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با توجه به اين مطلب، اشکال مدعای ايشان در خصوص موردی که زوجه ادعای نسيان عادت خود را بنمايد نيز آشکار می</w:t>
      </w:r>
      <w:r>
        <w:rPr>
          <w:rFonts w:cs="Abz-2 (Badr)" w:hint="cs"/>
          <w:color w:val="000000" w:themeColor="text1"/>
          <w:sz w:val="28"/>
          <w:szCs w:val="28"/>
          <w:rtl/>
          <w:lang w:bidi="ar"/>
        </w:rPr>
        <w:softHyphen/>
        <w:t>شود، زيرا با وجود جريان استصحاب، وجهی برای تمسّک به قدر متيقّن وجود ندارد.</w:t>
      </w:r>
    </w:p>
    <w:p w14:paraId="22AB1286" w14:textId="77777777" w:rsidR="004B64CB" w:rsidRDefault="004B64CB" w:rsidP="004B64CB">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 عجيب اين است که شهيد ثانی با اين که در فرض اخير قائل به جريان استصحاب شده است، در فرض سابق بر آن استصحاب را جاری ندانسته و تمسّک به برائت کرده است، با اين که فرقی بين اين دو فرض از جهت مجرای اصل وجود ندارد.</w:t>
      </w:r>
    </w:p>
    <w:p w14:paraId="17F256E1" w14:textId="77777777" w:rsidR="004B64CB" w:rsidRDefault="004B64CB" w:rsidP="004B64CB">
      <w:pPr>
        <w:widowControl w:val="0"/>
        <w:bidi/>
        <w:spacing w:after="0" w:line="261" w:lineRule="auto"/>
        <w:ind w:firstLine="284"/>
        <w:jc w:val="both"/>
        <w:rPr>
          <w:rFonts w:cs="Abz-2 (Badr)" w:hint="cs"/>
          <w:color w:val="0070C0"/>
          <w:sz w:val="28"/>
          <w:szCs w:val="28"/>
          <w:rtl/>
          <w:lang w:bidi="fa-IR"/>
        </w:rPr>
      </w:pPr>
      <w:r>
        <w:rPr>
          <w:rFonts w:cs="Abz-2 (Badr)" w:hint="cs"/>
          <w:color w:val="000000" w:themeColor="text1"/>
          <w:spacing w:val="-4"/>
          <w:sz w:val="28"/>
          <w:szCs w:val="28"/>
          <w:rtl/>
          <w:lang w:bidi="fa-IR"/>
        </w:rPr>
        <w:t>صاحب جواهر نيز در فرض اخير می</w:t>
      </w:r>
      <w:r>
        <w:rPr>
          <w:rFonts w:cs="Abz-2 (Badr)" w:hint="cs"/>
          <w:color w:val="000000" w:themeColor="text1"/>
          <w:spacing w:val="-4"/>
          <w:sz w:val="28"/>
          <w:szCs w:val="28"/>
          <w:rtl/>
          <w:lang w:bidi="fa-IR"/>
        </w:rPr>
        <w:softHyphen/>
        <w:t xml:space="preserve">فرمايد: </w:t>
      </w:r>
      <w:r>
        <w:rPr>
          <w:rFonts w:cs="Abz-2 (Badr)" w:hint="cs"/>
          <w:color w:val="0070C0"/>
          <w:spacing w:val="-4"/>
          <w:sz w:val="28"/>
          <w:szCs w:val="28"/>
          <w:rtl/>
          <w:lang w:bidi="fa-IR"/>
        </w:rPr>
        <w:t>«</w:t>
      </w:r>
      <w:r>
        <w:rPr>
          <w:rFonts w:cs="Abz-2 (Badr)" w:hint="cs"/>
          <w:color w:val="0070C0"/>
          <w:spacing w:val="-4"/>
          <w:sz w:val="28"/>
          <w:szCs w:val="28"/>
          <w:rtl/>
          <w:lang w:bidi="ar"/>
        </w:rPr>
        <w:t>إن قالت: نسيت عادتي، ففي البناء على أقلّ ما يمكن انقضاء العدّة به لأصالة البراءة من الزائد، أو على ثلاثة أشهر بناءً على الغالب، وجهان منشؤهما تعارض الأصلين المعتضدين بالظاهر والمتيقّن.»</w:t>
      </w:r>
      <w:r>
        <w:rPr>
          <w:rStyle w:val="FootnoteReference"/>
          <w:rFonts w:cs="Abz-2 (Badr)"/>
          <w:color w:val="000000" w:themeColor="text1"/>
          <w:sz w:val="28"/>
          <w:szCs w:val="28"/>
          <w:rtl/>
          <w:lang w:bidi="ar"/>
        </w:rPr>
        <w:footnoteReference w:id="3"/>
      </w:r>
    </w:p>
    <w:p w14:paraId="46FBB20E" w14:textId="77777777" w:rsidR="004B64CB" w:rsidRDefault="004B64CB" w:rsidP="004B64C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lastRenderedPageBreak/>
        <w:t>اشکال اين مدعا نيز اين است که اولاً: استصحاب مقدم بر اصول ديگر است. و ثانياً: اصل نيازمند اعتضاد به قرينه نيست، زيرا اساساً تعارضی با چيزی ندارد که برای ترجيح نيازمند قرينه باشد. وجه اين مدعا نيز اين است که اگر دليلی داشته باشيم، نوبت به جريان اصل نخواهد رسيد و اگر هم دليلی وجود نداشته و نوبت به جريان اصل برسد، از آنجا که مجاری اصول با يکديگر متفاوت بوده و موردی وجود ندارد که مجرای دو اصل باشد، اصول با يکديگر نيز تعارضی نخواهند داشت.</w:t>
      </w:r>
    </w:p>
    <w:p w14:paraId="40EAA564" w14:textId="77777777" w:rsidR="004B64CB" w:rsidRDefault="004B64CB" w:rsidP="004B64C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البته بايد به يک نکته نيز توجه داشت که در کلمات اعلام مغفول مانده است و آن اين که اگرچه زوجه مطلقه در هر حال تا پايان عده دارای نفقه است، اما نفقه وی در صورت حمل داشتن با نفقه وی در صورتی که حامل نباشد کماً و کيفاً متفاوت است. بنابر اين چنانچه به ظن اين که حامل است به وی نفقه پرداخت شد و سپس معلوم شد که حامل نبوده است، علاوه بر اين که نفقه</w:t>
      </w:r>
      <w:r>
        <w:rPr>
          <w:rFonts w:cs="Abz-2 (Badr)" w:hint="cs"/>
          <w:color w:val="000000" w:themeColor="text1"/>
          <w:sz w:val="28"/>
          <w:szCs w:val="28"/>
          <w:rtl/>
          <w:lang w:bidi="fa-IR"/>
        </w:rPr>
        <w:softHyphen/>
        <w:t>ای که برای بعد از مدت انقضای عده به وی پرداخت شده است قابل استرداد است، نفقه</w:t>
      </w:r>
      <w:r>
        <w:rPr>
          <w:rFonts w:cs="Abz-2 (Badr)" w:hint="cs"/>
          <w:color w:val="000000" w:themeColor="text1"/>
          <w:sz w:val="28"/>
          <w:szCs w:val="28"/>
          <w:rtl/>
          <w:lang w:bidi="fa-IR"/>
        </w:rPr>
        <w:softHyphen/>
        <w:t>ای که در مدت عده پرداخت شده است نيز از حيث کيفی و کمی قابل محاسبه است و چنانچه نفقه</w:t>
      </w:r>
      <w:r>
        <w:rPr>
          <w:rFonts w:cs="Abz-2 (Badr)" w:hint="cs"/>
          <w:color w:val="000000" w:themeColor="text1"/>
          <w:sz w:val="28"/>
          <w:szCs w:val="28"/>
          <w:rtl/>
          <w:lang w:bidi="fa-IR"/>
        </w:rPr>
        <w:softHyphen/>
        <w:t>ای که به وی در اين مدت به عنوان حامل پرداخت شده زائد بر چيزی باشد که در واقع استحقاق آن را داشته است، آن مقدار زائد نيز قابل استرداد می</w:t>
      </w:r>
      <w:r>
        <w:rPr>
          <w:rFonts w:cs="Abz-2 (Badr)" w:hint="cs"/>
          <w:color w:val="000000" w:themeColor="text1"/>
          <w:sz w:val="28"/>
          <w:szCs w:val="28"/>
          <w:rtl/>
          <w:lang w:bidi="fa-IR"/>
        </w:rPr>
        <w:softHyphen/>
        <w:t>باشد.</w:t>
      </w:r>
    </w:p>
    <w:p w14:paraId="04D7D329" w14:textId="77777777" w:rsidR="004B64CB" w:rsidRDefault="004B64CB" w:rsidP="004B64CB">
      <w:pPr>
        <w:widowControl w:val="0"/>
        <w:bidi/>
        <w:spacing w:after="0"/>
        <w:ind w:firstLine="284"/>
        <w:jc w:val="both"/>
        <w:rPr>
          <w:rFonts w:cs="Abz-2 (Badr)" w:hint="cs"/>
          <w:color w:val="000000" w:themeColor="text1"/>
          <w:sz w:val="28"/>
          <w:szCs w:val="28"/>
          <w:rtl/>
          <w:lang w:bidi="fa-IR"/>
        </w:rPr>
      </w:pPr>
    </w:p>
    <w:p w14:paraId="66CC7999" w14:textId="77777777" w:rsidR="004B64CB" w:rsidRDefault="004B64CB" w:rsidP="004B64CB">
      <w:pPr>
        <w:widowControl w:val="0"/>
        <w:bidi/>
        <w:spacing w:after="0"/>
        <w:ind w:firstLine="284"/>
        <w:jc w:val="both"/>
        <w:rPr>
          <w:rFonts w:cs="Abz-2 (Badr)" w:hint="cs"/>
          <w:color w:val="000000" w:themeColor="text1"/>
          <w:sz w:val="28"/>
          <w:szCs w:val="28"/>
          <w:rtl/>
        </w:rPr>
      </w:pPr>
      <w:r>
        <w:rPr>
          <w:rFonts w:cs="Abz-2 (Badr)" w:hint="cs"/>
          <w:color w:val="00B050"/>
          <w:sz w:val="28"/>
          <w:szCs w:val="28"/>
          <w:rtl/>
          <w:lang w:bidi="fa-IR"/>
        </w:rPr>
        <w:t>الفرع الثالث:</w:t>
      </w:r>
      <w:r>
        <w:rPr>
          <w:rFonts w:cs="Abz-2 (Badr)" w:hint="cs"/>
          <w:color w:val="000000" w:themeColor="text1"/>
          <w:sz w:val="28"/>
          <w:szCs w:val="28"/>
          <w:rtl/>
          <w:lang w:bidi="fa-IR"/>
        </w:rPr>
        <w:t xml:space="preserve"> </w:t>
      </w:r>
      <w:r>
        <w:rPr>
          <w:rFonts w:cs="Abz-2 (Badr)" w:hint="cs"/>
          <w:color w:val="000000" w:themeColor="text1"/>
          <w:sz w:val="28"/>
          <w:szCs w:val="28"/>
          <w:rtl/>
        </w:rPr>
        <w:t>هل يوجد فرق بين أقسام الزوجة في استحقاق المطلّقة الرجعيّة للنفقة؟</w:t>
      </w:r>
    </w:p>
    <w:p w14:paraId="4D61DB24" w14:textId="77777777" w:rsidR="004B64CB" w:rsidRDefault="004B64CB" w:rsidP="004B64C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قال الشهيد الثاني في هذا الشأن</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لا فرق بين أن تكون أمة وحرّة، حائلاً وحاملاً. ولا تسقط نفقتها إلا بما تسقط به نفقة الزوجات، لأنّ حكم الزوجيّة باقٍ عليها في ذلك. ويستمرّ إلى انقضاء العدّة بوضع الحمل أو غيره.»</w:t>
      </w:r>
      <w:r>
        <w:rPr>
          <w:rStyle w:val="FootnoteReference"/>
          <w:rFonts w:cs="Abz-2 (Badr)"/>
          <w:color w:val="000000" w:themeColor="text1"/>
          <w:sz w:val="28"/>
          <w:szCs w:val="28"/>
          <w:rtl/>
          <w:lang w:bidi="ar"/>
        </w:rPr>
        <w:footnoteReference w:id="4"/>
      </w:r>
    </w:p>
    <w:p w14:paraId="3E20D7E2" w14:textId="77777777" w:rsidR="004B64CB" w:rsidRDefault="004B64CB" w:rsidP="004B64C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والحقّ معه في ذلك، ودليله الإطلاقات والعمومات الواردة في أدلّة النفقة وسائر الأدلّة.</w:t>
      </w:r>
    </w:p>
    <w:p w14:paraId="0D06D0D9" w14:textId="77777777" w:rsidR="004B64CB" w:rsidRDefault="004B64CB" w:rsidP="004B64CB">
      <w:pPr>
        <w:widowControl w:val="0"/>
        <w:bidi/>
        <w:spacing w:after="0"/>
        <w:ind w:firstLine="284"/>
        <w:jc w:val="both"/>
        <w:rPr>
          <w:rFonts w:cs="Abz-2 (Badr)"/>
          <w:color w:val="000000" w:themeColor="text1"/>
          <w:sz w:val="28"/>
          <w:szCs w:val="28"/>
          <w:lang w:bidi="fa-IR"/>
        </w:rPr>
      </w:pPr>
      <w:r>
        <w:rPr>
          <w:rFonts w:cs="Abz-2 (Badr)" w:hint="cs"/>
          <w:color w:val="00B050"/>
          <w:sz w:val="28"/>
          <w:szCs w:val="28"/>
          <w:rtl/>
        </w:rPr>
        <w:t>الفرع الرابع:</w:t>
      </w:r>
      <w:r>
        <w:rPr>
          <w:rFonts w:cs="Abz-2 (Badr)" w:hint="cs"/>
          <w:b/>
          <w:bCs/>
          <w:color w:val="000000" w:themeColor="text1"/>
          <w:sz w:val="28"/>
          <w:szCs w:val="28"/>
          <w:rtl/>
        </w:rPr>
        <w:t xml:space="preserve"> </w:t>
      </w:r>
      <w:r>
        <w:rPr>
          <w:rFonts w:cs="Abz-2 (Badr)" w:hint="cs"/>
          <w:color w:val="000000" w:themeColor="text1"/>
          <w:sz w:val="28"/>
          <w:szCs w:val="28"/>
          <w:rtl/>
        </w:rPr>
        <w:t>إذا شكّ في كون المطلّقة الرجعيّة حاملاً، فما هو التكليف؟</w:t>
      </w:r>
    </w:p>
    <w:p w14:paraId="5986BCD8" w14:textId="77777777" w:rsidR="004B64CB" w:rsidRDefault="004B64CB" w:rsidP="004B64CB">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 xml:space="preserve">أصل هذه المسألة ـ أعني ما هو الحكم عند الشكّ في وجود الحمل، وهل يجوز استرجاع النفقة إن دفعت إلى الزوجة </w:t>
      </w:r>
      <w:r>
        <w:rPr>
          <w:rFonts w:cs="Abz-2 (Badr)" w:hint="cs"/>
          <w:color w:val="000000" w:themeColor="text1"/>
          <w:sz w:val="28"/>
          <w:szCs w:val="28"/>
          <w:rtl/>
        </w:rPr>
        <w:lastRenderedPageBreak/>
        <w:t>بعنوان الحمل ثم تبيّن عدمه ـ سيأتي ضمن الفروع التي ذكرها المحقّق لاحقاً إن شاء الله.</w:t>
      </w:r>
    </w:p>
    <w:p w14:paraId="21078429" w14:textId="77777777" w:rsidR="004B64CB" w:rsidRDefault="004B64CB" w:rsidP="004B64CB">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وأمّا المسألة التي نبحثها هنا، فهي ما إذا دفعت النفقة إلى المطلّقة الرجعيّة بعنوان كونها حاملاً، ثمّ تبيّن بعد ذلك أنّها لم تكن كذلك وأراد الزوج استرجاع ما دفعه لها بعنوان نفقة الحامل. فحيث إنّ المطلّقة الرجعيّة تستحقّ النفقة إلى نهاية العدّة، فالسؤال هنا أنّه كيف تحسب مدّة عدّتها بعد تبيّن عدم الحمل؟</w:t>
      </w:r>
    </w:p>
    <w:p w14:paraId="3865DCA1" w14:textId="77777777" w:rsidR="004B64CB" w:rsidRDefault="004B64CB" w:rsidP="004B64CB">
      <w:pPr>
        <w:widowControl w:val="0"/>
        <w:bidi/>
        <w:spacing w:after="0"/>
        <w:ind w:firstLine="284"/>
        <w:jc w:val="both"/>
        <w:rPr>
          <w:rFonts w:cs="Abz-2 (Badr)"/>
          <w:color w:val="0070C0"/>
          <w:sz w:val="28"/>
          <w:szCs w:val="28"/>
          <w:lang w:bidi="ar"/>
        </w:rPr>
      </w:pPr>
      <w:r>
        <w:rPr>
          <w:rFonts w:cs="Abz-2 (Badr)" w:hint="cs"/>
          <w:color w:val="000000" w:themeColor="text1"/>
          <w:sz w:val="28"/>
          <w:szCs w:val="28"/>
          <w:rtl/>
        </w:rPr>
        <w:t xml:space="preserve">قال الشهيد الثاني: </w:t>
      </w:r>
      <w:r>
        <w:rPr>
          <w:rFonts w:cs="Abz-2 (Badr)" w:hint="cs"/>
          <w:color w:val="0070C0"/>
          <w:sz w:val="28"/>
          <w:szCs w:val="28"/>
          <w:rtl/>
          <w:lang w:bidi="fa-IR"/>
        </w:rPr>
        <w:t>«</w:t>
      </w:r>
      <w:r>
        <w:rPr>
          <w:rFonts w:cs="Abz-2 (Badr)" w:hint="cs"/>
          <w:color w:val="0070C0"/>
          <w:sz w:val="28"/>
          <w:szCs w:val="28"/>
          <w:rtl/>
          <w:lang w:bidi="ar"/>
        </w:rPr>
        <w:t>تسأل عن قدر الأقراء إن اتّفق، فإن عيّنت قدراً صدّقت باليمين إن كذّبها الزوج، وبلا يمين إن صدّقها.</w:t>
      </w:r>
    </w:p>
    <w:p w14:paraId="36CDEE1F" w14:textId="77777777" w:rsidR="004B64CB" w:rsidRDefault="004B64CB" w:rsidP="004B64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وإن قالت: لا أعلم متى انقضت عدّتي، سئلت عن عادة حيضها وطهرها، فإن ذكرت عادة مضبوطة، بنينا الأمر على قولها. وإن ذكرت أنّها مختلفة، أخذنا بأقلّ‌ عادتها ورجع الزوج فيما زاد، فإنّه المتيقّن وهي لا تدّعي زيادة عليه.</w:t>
      </w:r>
    </w:p>
    <w:p w14:paraId="1534E8BE" w14:textId="77777777" w:rsidR="004B64CB" w:rsidRDefault="004B64CB" w:rsidP="004B64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وإن قالت: نسيت عادتي، ففي البناء على أقلّ‌ ما يمكن انقضاء العدّة به لأصالة البراءة من الزائد، أو على ثلاثة أشهر بناءً على الغالب، وجهان منشؤهما تعارض الأصلين، إذ الأصل بقاء العدّة أيضاً إلى أن يثبت الانقضاء.</w:t>
      </w:r>
    </w:p>
    <w:p w14:paraId="29D16D75" w14:textId="77777777" w:rsidR="004B64CB" w:rsidRDefault="004B64CB" w:rsidP="004B64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ويعتضد الثاني بالظاهر والمتيقّن هو الأوّل.»</w:t>
      </w:r>
      <w:r>
        <w:rPr>
          <w:rStyle w:val="FootnoteReference"/>
          <w:rFonts w:cs="Abz-2 (Badr)"/>
          <w:color w:val="000000" w:themeColor="text1"/>
          <w:sz w:val="28"/>
          <w:szCs w:val="28"/>
          <w:rtl/>
          <w:lang w:bidi="ar"/>
        </w:rPr>
        <w:footnoteReference w:id="5"/>
      </w:r>
    </w:p>
    <w:p w14:paraId="6260F054" w14:textId="77777777" w:rsidR="004B64CB" w:rsidRDefault="004B64CB" w:rsidP="004B64CB">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وأمّا الإشكال على كلامه، فهو أنّه إذا ادّعت الزوجة أنّ عادتها غير مضبوطة، فلا وجه للاكتفاء بالأقلّ، لأنّه مع جريان الاستصحاب الموضوعي والحكمي، لا يصل الدور إلى أصل البراءة</w:t>
      </w:r>
      <w:r>
        <w:rPr>
          <w:rFonts w:cs="Abz-2 (Badr)" w:hint="cs"/>
          <w:color w:val="000000" w:themeColor="text1"/>
          <w:sz w:val="28"/>
          <w:szCs w:val="28"/>
          <w:rtl/>
          <w:lang w:bidi="ar"/>
        </w:rPr>
        <w:t>.</w:t>
      </w:r>
    </w:p>
    <w:p w14:paraId="3BF0A3A7" w14:textId="77777777" w:rsidR="004B64CB" w:rsidRDefault="004B64CB" w:rsidP="004B64CB">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وعليه، فبمقتضى استصحاب بقاء العدّة إلى أقصى مدّة ممكنة، يجب على المطلّق دفع نفقة المرأة إلى نهاية تلك المدّة.</w:t>
      </w:r>
    </w:p>
    <w:p w14:paraId="19C30F0B" w14:textId="77777777" w:rsidR="004B64CB" w:rsidRDefault="004B64CB" w:rsidP="004B64CB">
      <w:pPr>
        <w:widowControl w:val="0"/>
        <w:bidi/>
        <w:spacing w:after="0"/>
        <w:ind w:firstLine="284"/>
        <w:jc w:val="both"/>
        <w:rPr>
          <w:rFonts w:cs="Abz-2 (Badr)"/>
          <w:color w:val="000000" w:themeColor="text1"/>
          <w:sz w:val="28"/>
          <w:szCs w:val="28"/>
          <w:lang w:bidi="ar"/>
        </w:rPr>
      </w:pPr>
      <w:r>
        <w:rPr>
          <w:rFonts w:cs="Abz-2 (Badr)" w:hint="cs"/>
          <w:color w:val="000000" w:themeColor="text1"/>
          <w:sz w:val="28"/>
          <w:szCs w:val="28"/>
          <w:rtl/>
        </w:rPr>
        <w:t>وأمّا ما قيل من أنّ المطلّقة الرجعيّة لا تطالب بالزائد على أقلّ مدّة العدّة، فدعوىً غير صحيحة، لأنّ مطالبتها بالنفقة تكون إلى انقضاء العدّة، وعدم علمها بزمان الانقضاء لا يستلزم عدم مطالبتها بالنفقة الزائدة على الأقلّ.</w:t>
      </w:r>
    </w:p>
    <w:p w14:paraId="6B24D683" w14:textId="77777777" w:rsidR="004B64CB" w:rsidRDefault="004B64CB" w:rsidP="004B64CB">
      <w:pPr>
        <w:widowControl w:val="0"/>
        <w:bidi/>
        <w:spacing w:after="0"/>
        <w:ind w:firstLine="284"/>
        <w:jc w:val="both"/>
        <w:rPr>
          <w:rFonts w:cs="Abz-2 (Badr)"/>
          <w:color w:val="000000" w:themeColor="text1"/>
          <w:sz w:val="28"/>
          <w:szCs w:val="28"/>
          <w:lang w:bidi="ar"/>
        </w:rPr>
      </w:pPr>
      <w:r>
        <w:rPr>
          <w:rFonts w:cs="Abz-2 (Badr)" w:hint="cs"/>
          <w:color w:val="000000" w:themeColor="text1"/>
          <w:sz w:val="28"/>
          <w:szCs w:val="28"/>
          <w:rtl/>
        </w:rPr>
        <w:t>وبناءً على ذلك يظهر وجه الإشكال في دعواه في الصورة التي تدّعي فيها الزوجة نسيان عادتها أيضاً، إذ مع جريان الاستصحاب لا وجه للتمسّك بالقدر المتيقّن.</w:t>
      </w:r>
    </w:p>
    <w:p w14:paraId="7F463E4C" w14:textId="77777777" w:rsidR="004B64CB" w:rsidRDefault="004B64CB" w:rsidP="004B64CB">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 xml:space="preserve">والعجيب أنّ الشهيد الثاني مع أنّه في الصورة الأخيرة يرى جريان الاستصحاب، لم يجره في الصورة السابقة وتمسّك </w:t>
      </w:r>
      <w:r>
        <w:rPr>
          <w:rFonts w:cs="Abz-2 (Badr)" w:hint="cs"/>
          <w:color w:val="000000" w:themeColor="text1"/>
          <w:sz w:val="28"/>
          <w:szCs w:val="28"/>
          <w:rtl/>
        </w:rPr>
        <w:lastRenderedPageBreak/>
        <w:t>بالبراءة، مع أنّه لا فرق بين الفرضين من جهة مجرى الأصل.</w:t>
      </w:r>
    </w:p>
    <w:p w14:paraId="44D0DA3A" w14:textId="77777777" w:rsidR="004B64CB" w:rsidRDefault="004B64CB" w:rsidP="004B64CB">
      <w:pPr>
        <w:widowControl w:val="0"/>
        <w:bidi/>
        <w:spacing w:after="0"/>
        <w:ind w:firstLine="284"/>
        <w:jc w:val="both"/>
        <w:rPr>
          <w:rFonts w:cs="Abz-2 (Badr)" w:hint="cs"/>
          <w:color w:val="0070C0"/>
          <w:sz w:val="28"/>
          <w:szCs w:val="28"/>
          <w:rtl/>
          <w:lang w:bidi="fa-IR"/>
        </w:rPr>
      </w:pPr>
      <w:r>
        <w:rPr>
          <w:rFonts w:cs="Abz-2 (Badr)" w:hint="cs"/>
          <w:color w:val="000000" w:themeColor="text1"/>
          <w:spacing w:val="-4"/>
          <w:sz w:val="28"/>
          <w:szCs w:val="28"/>
          <w:rtl/>
        </w:rPr>
        <w:t xml:space="preserve">کذلك قال </w:t>
      </w:r>
      <w:r>
        <w:rPr>
          <w:rFonts w:cs="Abz-2 (Badr)" w:hint="cs"/>
          <w:color w:val="000000" w:themeColor="text1"/>
          <w:spacing w:val="-4"/>
          <w:sz w:val="28"/>
          <w:szCs w:val="28"/>
          <w:rtl/>
          <w:lang w:bidi="fa-IR"/>
        </w:rPr>
        <w:t xml:space="preserve">صاحب الجواهر في الفرض الأخير: </w:t>
      </w:r>
      <w:r>
        <w:rPr>
          <w:rFonts w:cs="Abz-2 (Badr)" w:hint="cs"/>
          <w:color w:val="0070C0"/>
          <w:spacing w:val="-4"/>
          <w:sz w:val="28"/>
          <w:szCs w:val="28"/>
          <w:rtl/>
          <w:lang w:bidi="fa-IR"/>
        </w:rPr>
        <w:t>«</w:t>
      </w:r>
      <w:r>
        <w:rPr>
          <w:rFonts w:cs="Abz-2 (Badr)" w:hint="cs"/>
          <w:color w:val="0070C0"/>
          <w:spacing w:val="-4"/>
          <w:sz w:val="28"/>
          <w:szCs w:val="28"/>
          <w:rtl/>
          <w:lang w:bidi="ar"/>
        </w:rPr>
        <w:t>إن قالت: نسيت عادتي، ففي البناء على أقلّ ما يمكن انقضاء العدّة به لأصالة البراءة من الزائد، أو على ثلاثة أشهر بناءً على الغالب، وجهان منشؤهما تعارض الأصلين المعتضدين بالظاهر والمتيقّن.»</w:t>
      </w:r>
      <w:r>
        <w:rPr>
          <w:rStyle w:val="FootnoteReference"/>
          <w:rFonts w:cs="Abz-2 (Badr)"/>
          <w:color w:val="000000" w:themeColor="text1"/>
          <w:sz w:val="28"/>
          <w:szCs w:val="28"/>
          <w:rtl/>
          <w:lang w:bidi="ar"/>
        </w:rPr>
        <w:footnoteReference w:id="6"/>
      </w:r>
    </w:p>
    <w:p w14:paraId="1B50BD36" w14:textId="77777777" w:rsidR="004B64CB" w:rsidRDefault="004B64CB" w:rsidP="004B64C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وإشكال هذا المدّعى أيضاً أنّه أوّلاً: الاستصحاب مقدّم على سائر الأُصول، وثانياً: الأصل لا يحتاج إلى اعتضاد بقرينة، لأنّه لا تعارض بينه وبين شيء آخر حتّى يحتاج إلى قرينة للترجيح.</w:t>
      </w:r>
    </w:p>
    <w:p w14:paraId="037787CE" w14:textId="77777777" w:rsidR="004B64CB" w:rsidRDefault="004B64CB" w:rsidP="004B64CB">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ووجه ذلك أنّه لو وجد دليل اجتهادي، لما وصل الدور إلى جريان الأصل. وأمّا إذا لم يوجد دليل وكان المقام من موارد جريان الأُصول، فإنّ مجاري الأُصول مختلفة، ولا يوجد مورد يكون مجرىً لأصلين في وقت واحد، فلا يقع التعارض بينها أصلاً.</w:t>
      </w:r>
    </w:p>
    <w:p w14:paraId="1BA18C61" w14:textId="77777777" w:rsidR="004B64CB" w:rsidRDefault="004B64CB" w:rsidP="004B64CB">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ثمّ إنّه ينبغي الالتفات إلى نكتة قد غفل عنها كثير من الأعلام، وهي أنّ المطلّقة الرجعيّة وإن كانت تستحقّ النفقة على كلّ حال إلى نهاية العدّة، إلا أنّ نفقتها تختلف كمّاً وكيفاً بين حال الحمل وعدمه.</w:t>
      </w:r>
    </w:p>
    <w:p w14:paraId="1F9334F7" w14:textId="77777777" w:rsidR="004B64CB" w:rsidRDefault="004B64CB" w:rsidP="004B64CB">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فإذا دفعت إليها النفقة ظنّاً بأنّها حامل ثمّ تبيّن أنّها لم تكن كذلك، فإنّ النفقة المدفوعة لها بعد انقضاء العدّة تستردّ، كما أنّ النفقة التي أُعطيت لها في أثناء العدّة تراجع أيضاً من حيث الكمّ والكيف، لأنّ نفقة الحامل تزيد عادةً على نفقة الحائل، فكلّ مقدار زائد دفع إليها بعنوان الحمل ممّا لم تكن مستحقّةً له في الواقع، يكون قابلاً للاسترداد كذلك.</w:t>
      </w:r>
    </w:p>
    <w:p w14:paraId="2AD04477" w14:textId="7D63A4A4" w:rsidR="00B706A3" w:rsidRPr="004B64CB" w:rsidRDefault="00B706A3" w:rsidP="004B64CB">
      <w:pPr>
        <w:rPr>
          <w:rtl/>
        </w:rPr>
      </w:pPr>
    </w:p>
    <w:sectPr w:rsidR="00B706A3" w:rsidRPr="004B64CB"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04503" w14:textId="77777777" w:rsidR="00B615B2" w:rsidRDefault="00B615B2" w:rsidP="00F71127">
      <w:pPr>
        <w:spacing w:after="0" w:line="240" w:lineRule="auto"/>
      </w:pPr>
      <w:r>
        <w:separator/>
      </w:r>
    </w:p>
  </w:endnote>
  <w:endnote w:type="continuationSeparator" w:id="0">
    <w:p w14:paraId="1E47DB8C" w14:textId="77777777" w:rsidR="00B615B2" w:rsidRDefault="00B615B2"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13AF" w14:textId="77777777" w:rsidR="00A27664" w:rsidRDefault="00A27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C7FD" w14:textId="77777777" w:rsidR="00A27664" w:rsidRDefault="00A27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757E0" w14:textId="77777777" w:rsidR="00B615B2" w:rsidRDefault="00B615B2" w:rsidP="00EE25C0">
      <w:pPr>
        <w:bidi/>
        <w:spacing w:after="0" w:line="240" w:lineRule="auto"/>
      </w:pPr>
      <w:r>
        <w:separator/>
      </w:r>
    </w:p>
  </w:footnote>
  <w:footnote w:type="continuationSeparator" w:id="0">
    <w:p w14:paraId="54F45EEE" w14:textId="77777777" w:rsidR="00B615B2" w:rsidRDefault="00B615B2" w:rsidP="00F71127">
      <w:pPr>
        <w:bidi/>
        <w:spacing w:after="0" w:line="240" w:lineRule="auto"/>
      </w:pPr>
      <w:r>
        <w:continuationSeparator/>
      </w:r>
    </w:p>
  </w:footnote>
  <w:footnote w:id="1">
    <w:p w14:paraId="6D63A565" w14:textId="77777777" w:rsidR="004B64CB" w:rsidRDefault="004B64CB" w:rsidP="004B64C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w:t>
      </w:r>
      <w:r>
        <w:rPr>
          <w:rFonts w:cs="Abz-2 (Badr)" w:hint="cs"/>
          <w:rtl/>
          <w:lang w:bidi="fa-IR"/>
        </w:rPr>
        <w:t xml:space="preserve"> الأفهام،ج8،ص449.</w:t>
      </w:r>
    </w:p>
  </w:footnote>
  <w:footnote w:id="2">
    <w:p w14:paraId="22CD0057" w14:textId="77777777" w:rsidR="004B64CB" w:rsidRDefault="004B64CB" w:rsidP="004B64C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همان</w:t>
      </w:r>
      <w:r>
        <w:rPr>
          <w:rFonts w:cs="Abz-2 (Badr)" w:hint="cs"/>
          <w:rtl/>
          <w:lang w:bidi="fa-IR"/>
        </w:rPr>
        <w:t>،ص449 و 450.</w:t>
      </w:r>
    </w:p>
  </w:footnote>
  <w:footnote w:id="3">
    <w:p w14:paraId="2D92CBC5" w14:textId="77777777" w:rsidR="004B64CB" w:rsidRDefault="004B64CB" w:rsidP="004B64C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w:t>
      </w:r>
      <w:r>
        <w:rPr>
          <w:rFonts w:cs="Abz-2 (Badr)" w:hint="cs"/>
          <w:rtl/>
          <w:lang w:bidi="fa-IR"/>
        </w:rPr>
        <w:t>،ج31،ص319.</w:t>
      </w:r>
    </w:p>
  </w:footnote>
  <w:footnote w:id="4">
    <w:p w14:paraId="73A006F3" w14:textId="77777777" w:rsidR="004B64CB" w:rsidRDefault="004B64CB" w:rsidP="004B64C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w:t>
      </w:r>
      <w:r>
        <w:rPr>
          <w:rFonts w:cs="Abz-2 (Badr)" w:hint="cs"/>
          <w:rtl/>
          <w:lang w:bidi="fa-IR"/>
        </w:rPr>
        <w:t xml:space="preserve"> الأفهام،ج8،ص449.</w:t>
      </w:r>
    </w:p>
  </w:footnote>
  <w:footnote w:id="5">
    <w:p w14:paraId="5D3795EE" w14:textId="77777777" w:rsidR="004B64CB" w:rsidRDefault="004B64CB" w:rsidP="004B64C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المصدر نفسه</w:t>
      </w:r>
      <w:r>
        <w:rPr>
          <w:rFonts w:cs="Abz-2 (Badr)" w:hint="cs"/>
          <w:rtl/>
          <w:lang w:bidi="fa-IR"/>
        </w:rPr>
        <w:t>،ص449 و 450.</w:t>
      </w:r>
    </w:p>
  </w:footnote>
  <w:footnote w:id="6">
    <w:p w14:paraId="387FBCD4" w14:textId="77777777" w:rsidR="004B64CB" w:rsidRDefault="004B64CB" w:rsidP="004B64C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w:t>
      </w:r>
      <w:r>
        <w:rPr>
          <w:rFonts w:cs="Abz-2 (Badr)" w:hint="cs"/>
          <w:rtl/>
          <w:lang w:bidi="fa-IR"/>
        </w:rPr>
        <w:t>،ج31،ص319.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E96D" w14:textId="77777777" w:rsidR="00A27664" w:rsidRDefault="00A276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324EAB8D"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F60C09">
                            <w:rPr>
                              <w:rFonts w:cs="B Mehr" w:hint="cs"/>
                              <w:rtl/>
                              <w:lang w:bidi="fa-IR"/>
                            </w:rPr>
                            <w:t xml:space="preserve"> </w:t>
                          </w:r>
                          <w:r w:rsidR="004B64CB">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4B64CB">
                            <w:rPr>
                              <w:rFonts w:cs="B Mehr" w:hint="cs"/>
                              <w:rtl/>
                              <w:lang w:bidi="fa-IR"/>
                            </w:rPr>
                            <w:t>18</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324EAB8D"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F60C09">
                      <w:rPr>
                        <w:rFonts w:cs="B Mehr" w:hint="cs"/>
                        <w:rtl/>
                        <w:lang w:bidi="fa-IR"/>
                      </w:rPr>
                      <w:t xml:space="preserve"> </w:t>
                    </w:r>
                    <w:r w:rsidR="004B64CB">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4B64CB">
                      <w:rPr>
                        <w:rFonts w:cs="B Mehr" w:hint="cs"/>
                        <w:rtl/>
                        <w:lang w:bidi="fa-IR"/>
                      </w:rPr>
                      <w:t>18</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60E1" w14:textId="77777777" w:rsidR="00A27664" w:rsidRDefault="00A276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21730</TotalTime>
  <Pages>1</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654</cp:revision>
  <cp:lastPrinted>2025-04-14T09:12:00Z</cp:lastPrinted>
  <dcterms:created xsi:type="dcterms:W3CDTF">2022-10-16T08:36:00Z</dcterms:created>
  <dcterms:modified xsi:type="dcterms:W3CDTF">2025-11-09T07:50:00Z</dcterms:modified>
</cp:coreProperties>
</file>