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CA489" w14:textId="77777777" w:rsidR="00A27664" w:rsidRDefault="00A27664" w:rsidP="00A27664">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D010559" w14:textId="77777777" w:rsidR="00A27664" w:rsidRDefault="00A27664" w:rsidP="00A27664">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4B36D82F" w14:textId="77777777" w:rsidR="00A27664" w:rsidRDefault="00A27664" w:rsidP="00A27664">
      <w:pPr>
        <w:widowControl w:val="0"/>
        <w:bidi/>
        <w:spacing w:after="0"/>
        <w:jc w:val="center"/>
        <w:rPr>
          <w:rFonts w:cs="B Mitra" w:hint="cs"/>
          <w:b/>
          <w:bCs/>
          <w:sz w:val="32"/>
          <w:szCs w:val="32"/>
          <w:rtl/>
          <w:lang w:bidi="fa-IR"/>
        </w:rPr>
      </w:pPr>
      <w:r>
        <w:rPr>
          <w:rFonts w:cs="B Mitra" w:hint="cs"/>
          <w:b/>
          <w:bCs/>
          <w:sz w:val="32"/>
          <w:szCs w:val="32"/>
          <w:rtl/>
          <w:lang w:bidi="fa-IR"/>
        </w:rPr>
        <w:t>جلسه 866</w:t>
      </w:r>
    </w:p>
    <w:p w14:paraId="12106D67" w14:textId="77777777" w:rsidR="00A27664" w:rsidRDefault="00A27664" w:rsidP="00A27664">
      <w:pPr>
        <w:widowControl w:val="0"/>
        <w:bidi/>
        <w:spacing w:after="0"/>
        <w:ind w:firstLine="284"/>
        <w:jc w:val="both"/>
        <w:rPr>
          <w:rFonts w:cs="Abz-2 (Badr)" w:hint="cs"/>
          <w:sz w:val="28"/>
          <w:szCs w:val="28"/>
          <w:rtl/>
          <w:lang w:bidi="fa-IR"/>
        </w:rPr>
      </w:pPr>
      <w:bookmarkStart w:id="0" w:name="_Hlk159096966"/>
    </w:p>
    <w:bookmarkEnd w:id="0"/>
    <w:p w14:paraId="1B41B23B"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برای بررسی مسأله</w:t>
      </w:r>
      <w:r>
        <w:rPr>
          <w:rFonts w:cs="Abz-2 (Badr)" w:hint="cs"/>
          <w:color w:val="000000" w:themeColor="text1"/>
          <w:sz w:val="28"/>
          <w:szCs w:val="28"/>
          <w:rtl/>
          <w:lang w:bidi="fa-IR"/>
        </w:rPr>
        <w:softHyphen/>
        <w:t>ای که جلسه قبل مطرح شد و اقوال فقهاء را در خصوص آن بيان کرديم، بايد دو فرض را در نظر گرفت:</w:t>
      </w:r>
    </w:p>
    <w:p w14:paraId="425F428C" w14:textId="77777777" w:rsidR="00A27664" w:rsidRDefault="00A27664" w:rsidP="00A27664">
      <w:pPr>
        <w:widowControl w:val="0"/>
        <w:bidi/>
        <w:spacing w:after="0"/>
        <w:ind w:firstLine="284"/>
        <w:jc w:val="both"/>
        <w:rPr>
          <w:rFonts w:cs="Abz-2 (Badr)" w:hint="cs"/>
          <w:color w:val="EE0000"/>
          <w:sz w:val="28"/>
          <w:szCs w:val="28"/>
          <w:rtl/>
          <w:lang w:bidi="fa-IR"/>
        </w:rPr>
      </w:pPr>
      <w:r>
        <w:rPr>
          <w:rFonts w:cs="Abz-2 (Badr)" w:hint="cs"/>
          <w:color w:val="7030A0"/>
          <w:sz w:val="28"/>
          <w:szCs w:val="28"/>
          <w:rtl/>
          <w:lang w:bidi="fa-IR"/>
        </w:rPr>
        <w:t xml:space="preserve">فرض اول: </w:t>
      </w:r>
      <w:r>
        <w:rPr>
          <w:rFonts w:cs="Abz-2 (Badr)" w:hint="cs"/>
          <w:color w:val="000000" w:themeColor="text1"/>
          <w:sz w:val="28"/>
          <w:szCs w:val="28"/>
          <w:rtl/>
          <w:lang w:bidi="fa-IR"/>
        </w:rPr>
        <w:t>مطلقه رجعيه</w:t>
      </w:r>
      <w:r>
        <w:rPr>
          <w:rFonts w:cs="Abz-2 (Badr)" w:hint="cs"/>
          <w:color w:val="000000" w:themeColor="text1"/>
          <w:sz w:val="28"/>
          <w:szCs w:val="28"/>
          <w:rtl/>
          <w:lang w:bidi="fa-IR"/>
        </w:rPr>
        <w:softHyphen/>
        <w:t>ای که در حال عده، وطء به شبهه شده است.</w:t>
      </w:r>
    </w:p>
    <w:p w14:paraId="5B88C8C7"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اين فرض از آنجا که سابقاً و در بحث تداخل عدد گذشت که مقتضای تحقيق اين است که عدد تداخل می</w:t>
      </w:r>
      <w:r>
        <w:rPr>
          <w:rFonts w:cs="Abz-2 (Badr)" w:hint="cs"/>
          <w:color w:val="000000" w:themeColor="text1"/>
          <w:sz w:val="28"/>
          <w:szCs w:val="28"/>
          <w:rtl/>
          <w:lang w:bidi="fa-IR"/>
        </w:rPr>
        <w:softHyphen/>
        <w:t>کنند، از آنجا که زوجه در زمان عده وطء به شبهه در حال عده رجعيه نيز می</w:t>
      </w:r>
      <w:r>
        <w:rPr>
          <w:rFonts w:cs="Abz-2 (Badr)" w:hint="cs"/>
          <w:color w:val="000000" w:themeColor="text1"/>
          <w:sz w:val="28"/>
          <w:szCs w:val="28"/>
          <w:rtl/>
          <w:lang w:bidi="fa-IR"/>
        </w:rPr>
        <w:softHyphen/>
        <w:t>باشد، بنابر اين به مقتضای اطلاقات اخباری که دلالت بر وجوب نفقه او بر مطلق می</w:t>
      </w:r>
      <w:r>
        <w:rPr>
          <w:rFonts w:cs="Abz-2 (Badr)" w:hint="cs"/>
          <w:color w:val="000000" w:themeColor="text1"/>
          <w:sz w:val="28"/>
          <w:szCs w:val="28"/>
          <w:rtl/>
          <w:lang w:bidi="fa-IR"/>
        </w:rPr>
        <w:softHyphen/>
        <w:t>کنند، می</w:t>
      </w:r>
      <w:r>
        <w:rPr>
          <w:rFonts w:cs="Abz-2 (Badr)" w:hint="cs"/>
          <w:color w:val="000000" w:themeColor="text1"/>
          <w:sz w:val="28"/>
          <w:szCs w:val="28"/>
          <w:rtl/>
          <w:lang w:bidi="fa-IR"/>
        </w:rPr>
        <w:softHyphen/>
        <w:t>توان وی را در اين حال مستحق نفقه دانست، ولو زوج حق وطء وی را نداشته باشد، زيرا اين مطلب مسبب از عذر شرعی است که زوجه خود در ايجاد آن دخيل نبوده است. البته رجوع به زوجه در اين حالت به غير وطء ـ بنابر قول به جواز استمتاع از زوجه</w:t>
      </w:r>
      <w:r>
        <w:rPr>
          <w:rFonts w:cs="Abz-2 (Badr)" w:hint="cs"/>
          <w:color w:val="000000" w:themeColor="text1"/>
          <w:sz w:val="28"/>
          <w:szCs w:val="28"/>
          <w:rtl/>
          <w:lang w:bidi="fa-IR"/>
        </w:rPr>
        <w:softHyphen/>
        <w:t>ای که وطء به شبهه شده بما دون الوطء ـ جايز است، بلکه از آنجا که رجوع نيازمند استمتاع نيز نمی</w:t>
      </w:r>
      <w:r>
        <w:rPr>
          <w:rFonts w:cs="Abz-2 (Badr)" w:hint="cs"/>
          <w:color w:val="000000" w:themeColor="text1"/>
          <w:sz w:val="28"/>
          <w:szCs w:val="28"/>
          <w:rtl/>
          <w:lang w:bidi="fa-IR"/>
        </w:rPr>
        <w:softHyphen/>
        <w:t>باشد و با قول نيز محقق می</w:t>
      </w:r>
      <w:r>
        <w:rPr>
          <w:rFonts w:cs="Abz-2 (Badr)" w:hint="cs"/>
          <w:color w:val="000000" w:themeColor="text1"/>
          <w:sz w:val="28"/>
          <w:szCs w:val="28"/>
          <w:rtl/>
          <w:lang w:bidi="fa-IR"/>
        </w:rPr>
        <w:softHyphen/>
        <w:t>شود، ولو قائل به عدم جواز مطلق استمتاع در اين حالت بر مطلق شويم نيز، رجوع وی به زوجه ممکن خواهد بود.</w:t>
      </w:r>
    </w:p>
    <w:p w14:paraId="298B64EB"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اگر قائل به عدم تداخل عدد شويم، در زمانی که مطلقه در حال اعتداد از وطء به شبهه است، استحقاق نفقه از جانب مطلق را نخواهد داشت، چون صدق نمی</w:t>
      </w:r>
      <w:r>
        <w:rPr>
          <w:rFonts w:cs="Abz-2 (Badr)" w:hint="cs"/>
          <w:color w:val="000000" w:themeColor="text1"/>
          <w:sz w:val="28"/>
          <w:szCs w:val="28"/>
          <w:rtl/>
          <w:lang w:bidi="fa-IR"/>
        </w:rPr>
        <w:softHyphen/>
        <w:t>کند که در حال اعتداد از وی به عده رجعيه است.</w:t>
      </w:r>
    </w:p>
    <w:p w14:paraId="63AB510D"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اگر گفته شود: آنچه که در ادله آمده است اين است که زنی که طلاق رجعی داده شده است، تا پايان عده استحقاق نفقه دارد، و زن مفروض در اين فرض نيز هرچند در حال عده وطی به شبهه است و در حال عده از زوج نيست، اما اطلاق ادله شامل حال وی نيز می</w:t>
      </w:r>
      <w:r>
        <w:rPr>
          <w:rFonts w:cs="Abz-2 (Badr)" w:hint="cs"/>
          <w:color w:val="000000" w:themeColor="text1"/>
          <w:sz w:val="28"/>
          <w:szCs w:val="28"/>
          <w:rtl/>
          <w:lang w:bidi="fa-IR"/>
        </w:rPr>
        <w:softHyphen/>
        <w:t xml:space="preserve">شود و در نتيجه حتی بنابر قول به عدم تداخل عدد، زوج بايد در مدت عده وطی به </w:t>
      </w:r>
      <w:r>
        <w:rPr>
          <w:rFonts w:cs="Abz-2 (Badr)" w:hint="cs"/>
          <w:color w:val="000000" w:themeColor="text1"/>
          <w:sz w:val="28"/>
          <w:szCs w:val="28"/>
          <w:rtl/>
          <w:lang w:bidi="fa-IR"/>
        </w:rPr>
        <w:lastRenderedPageBreak/>
        <w:t>شبهه نفقه وی را پرداخت کند.</w:t>
      </w:r>
    </w:p>
    <w:p w14:paraId="3E515D14"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پاسخ اين است که اخذ به اطلاق ادله مذکور مبتنی بر اين است که احراز شود امام(ع) در مقام بيان از اين جهت بوده است، و احراز اين مطلب ممکن نيست، بلکه چه بسا بتوان ادعا کرد که اطمينان به اين وجود دارد که امام(ع) در مقام بين از اين جهت نبوده است.</w:t>
      </w:r>
    </w:p>
    <w:p w14:paraId="526C9DAF"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چنانچه مطلقه رجعيه در وقوع وطء شبهه نداشته و شبهه فقط از جانب واطی بوده باشد، مدعای کاشف اللثام تمام است و پاسخی که صاحب جواهر به اشکال ايشان داده است، قابل التزام نيست، زيرا توبه مطلقه سبب نمی</w:t>
      </w:r>
      <w:r>
        <w:rPr>
          <w:rFonts w:cs="Abz-2 (Badr)" w:hint="cs"/>
          <w:color w:val="000000" w:themeColor="text1"/>
          <w:sz w:val="28"/>
          <w:szCs w:val="28"/>
          <w:rtl/>
          <w:lang w:bidi="fa-IR"/>
        </w:rPr>
        <w:softHyphen/>
        <w:t>شود که نشوز وی بر طرف گردد؛ مانند اين که مطلقه بدون اذن زوج به سفری غير واجب رفته و در حال سفر از کرده خود توبه کند که در اين حالت مادامی که به خانه مطلق بازنگشته باشد، استحقاق نفقه را نخواهد داشت و توبه وی تأثيری در اين جهت ندارد.</w:t>
      </w:r>
    </w:p>
    <w:p w14:paraId="2BEA1F1D"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7030A0"/>
          <w:sz w:val="28"/>
          <w:szCs w:val="28"/>
          <w:rtl/>
          <w:lang w:bidi="fa-IR"/>
        </w:rPr>
        <w:t xml:space="preserve">فرض دوم: </w:t>
      </w:r>
      <w:r>
        <w:rPr>
          <w:rFonts w:cs="Abz-2 (Badr)" w:hint="cs"/>
          <w:color w:val="000000" w:themeColor="text1"/>
          <w:sz w:val="28"/>
          <w:szCs w:val="28"/>
          <w:rtl/>
          <w:lang w:bidi="fa-IR"/>
        </w:rPr>
        <w:t>زوجه</w:t>
      </w:r>
      <w:r>
        <w:rPr>
          <w:rFonts w:cs="Abz-2 (Badr)" w:hint="cs"/>
          <w:color w:val="000000" w:themeColor="text1"/>
          <w:sz w:val="28"/>
          <w:szCs w:val="28"/>
          <w:rtl/>
          <w:lang w:bidi="fa-IR"/>
        </w:rPr>
        <w:softHyphen/>
        <w:t>ای که وطء به شبهه شده است.</w:t>
      </w:r>
    </w:p>
    <w:p w14:paraId="4FB85B86"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اين حالت استحقاق زوجه برای نفقه از فرض سابق واضح</w:t>
      </w:r>
      <w:r>
        <w:rPr>
          <w:rFonts w:cs="Abz-2 (Badr)" w:hint="cs"/>
          <w:color w:val="000000" w:themeColor="text1"/>
          <w:sz w:val="28"/>
          <w:szCs w:val="28"/>
          <w:rtl/>
          <w:lang w:bidi="fa-IR"/>
        </w:rPr>
        <w:softHyphen/>
        <w:t>تر است، زيرا اشکالی در اين که بر زن ولو بعد از وطء به شبهه صدق زوجه می</w:t>
      </w:r>
      <w:r>
        <w:rPr>
          <w:rFonts w:cs="Abz-2 (Badr)" w:hint="cs"/>
          <w:color w:val="000000" w:themeColor="text1"/>
          <w:sz w:val="28"/>
          <w:szCs w:val="28"/>
          <w:rtl/>
          <w:lang w:bidi="fa-IR"/>
        </w:rPr>
        <w:softHyphen/>
        <w:t>شود، وجود ندارد و اين که امکان وطء وی يا مطلق استمتاع از وی وجود ندارد، در فرضی که خود وی در اين مطلب مقصر نبوده ومعذور باشد، اشکالی در استحقاق وی برای نفقه ايجاد نخواهد کرد.</w:t>
      </w:r>
    </w:p>
    <w:p w14:paraId="6E9C0229"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بله، در فرضی که شبهه از جانب زوجه نباشد و فقط از جانب واطی باشد، همان مطلبی که در فرض سابق گذشت، جاری بوده و زوجه استحقاق نفقه در مدتی که در عده وطء به شبهه است را دارا نخواهد بود.</w:t>
      </w:r>
    </w:p>
    <w:p w14:paraId="720BE0F8"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آنچه گفتيم بر اساس مبنای ما در مانعيت نشوز برای نفقه است.</w:t>
      </w:r>
    </w:p>
    <w:p w14:paraId="4CC27085"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ولی چنانچه به مانند مشهور، تمکين را شرط نفقه دانسته و در شرطيت آن نيز فرقی بين اين که امر به تمکين متوجه زوجه هست يا خير، نگذاريم، مقتضای قاعده عدم استحقاق مطلقه رجعيه يا زوجه</w:t>
      </w:r>
      <w:r>
        <w:rPr>
          <w:rFonts w:cs="Abz-2 (Badr)" w:hint="cs"/>
          <w:color w:val="000000" w:themeColor="text1"/>
          <w:sz w:val="28"/>
          <w:szCs w:val="28"/>
          <w:rtl/>
          <w:lang w:bidi="fa-IR"/>
        </w:rPr>
        <w:softHyphen/>
        <w:t>ای که وطء به شبهه شده است برای نفقه خواهد بود.</w:t>
      </w:r>
    </w:p>
    <w:p w14:paraId="5A6383D8" w14:textId="77777777" w:rsidR="00A27664" w:rsidRDefault="00A27664" w:rsidP="00A27664">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36C5D407"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لبحث المسألة التي طرحناه في الجلسة السابقة وبيّنا فيها أقوال الفقهاء، ينبغي أن نتصوّرها على فرضين</w:t>
      </w:r>
      <w:r>
        <w:rPr>
          <w:rFonts w:cs="Abz-2 (Badr)" w:hint="cs"/>
          <w:color w:val="000000" w:themeColor="text1"/>
          <w:sz w:val="28"/>
          <w:szCs w:val="28"/>
          <w:rtl/>
          <w:lang w:bidi="fa-IR"/>
        </w:rPr>
        <w:t>:</w:t>
      </w:r>
    </w:p>
    <w:p w14:paraId="5E63F339" w14:textId="77777777" w:rsidR="00A27664" w:rsidRDefault="00A27664" w:rsidP="00A27664">
      <w:pPr>
        <w:widowControl w:val="0"/>
        <w:bidi/>
        <w:spacing w:after="0"/>
        <w:ind w:firstLine="284"/>
        <w:jc w:val="both"/>
        <w:rPr>
          <w:rFonts w:cs="Abz-2 (Badr)" w:hint="cs"/>
          <w:color w:val="000000" w:themeColor="text1"/>
          <w:sz w:val="28"/>
          <w:szCs w:val="28"/>
          <w:rtl/>
        </w:rPr>
      </w:pPr>
      <w:r>
        <w:rPr>
          <w:rFonts w:cs="Abz-2 (Badr)" w:hint="cs"/>
          <w:color w:val="7030A0"/>
          <w:sz w:val="28"/>
          <w:szCs w:val="28"/>
          <w:rtl/>
        </w:rPr>
        <w:t xml:space="preserve">الفرض الأوّل: </w:t>
      </w:r>
      <w:r>
        <w:rPr>
          <w:rFonts w:cs="Abz-2 (Badr)" w:hint="cs"/>
          <w:color w:val="000000" w:themeColor="text1"/>
          <w:sz w:val="28"/>
          <w:szCs w:val="28"/>
          <w:rtl/>
        </w:rPr>
        <w:t>المطلّقة الرجعيّة التي وطئت بشبهة أثناء العدّة.</w:t>
      </w:r>
    </w:p>
    <w:p w14:paraId="3B76B403"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وفي هذا الفرض حيث تقدّم في مبحث تداخل العِدد أنّ مقتضى التحقيق هو التداخل، ولأنّ الزوجة في زمان الوطء بالشبهة كانت لا تزال في عدّة الرجعيّة، فيمكن ـ بناءً على إطلاق الأخبار الدالّة على وجوب نفقتها على المطلّق ـ القول باستحقاقها للنفقة في هذه الحال وإن لم يكن للزوج حقّ وطئها، لأنّ ذلك ناشئ من عذر شرعي لا مدخل لها فيه.</w:t>
      </w:r>
    </w:p>
    <w:p w14:paraId="53E4BCEB" w14:textId="77777777" w:rsidR="00A27664" w:rsidRDefault="00A27664" w:rsidP="00A2766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ثمّ إنّ رجوع المطلّق إلى زوجته في هذه الحال ممكن، لأنّ الرجعة لا تتوقّف على الاستمتاع، بل تحصل بالقول، فحتّى على القول بعدم جواز مطلق الاستمتاع منها حال الوطء بالشبهة، يصحّ منه الرجوع إليها. نعم، على القول بجواز الاستمتاع بما دون الوطء من الزوجة التي وطئت بشبهة، يكون الرجوع بطريق أولى جائزاً.</w:t>
      </w:r>
    </w:p>
    <w:p w14:paraId="09305772" w14:textId="77777777" w:rsidR="00A27664" w:rsidRDefault="00A27664" w:rsidP="00A2766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على القول بعدم تداخل العِدد، فإذا كانت المطلّقة في زمان اعتدادها من الوطء بالشبهة، فإنّها لا تعدّ معتدّة من الطلاق الرجعي، فلا تستحقّ النفقة من المطلّق في تلك المدّة.</w:t>
      </w:r>
    </w:p>
    <w:p w14:paraId="1E975C40"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إن قلت: إنّ الوارد في الأدلّة هو أنّ المرأة المطلّقة رجعيّاً تستحقّ النفقة إلى أن تنقضي العدّة، والمرأة المفروضة في هذا الفرض وإن كانت في عدّة وطء بشبهة وليست في عدّة من الزوج إلا أنّ إطلاق الأدلّة يشملها أيضاً، فيلزم ـ ولو على القول بعدم تداخل العدد ـ أن يدفع الزوج نفقتها مدّة عدّة وطء الشبهة.</w:t>
      </w:r>
    </w:p>
    <w:p w14:paraId="2FBAC0B1" w14:textId="77777777" w:rsidR="00A27664" w:rsidRDefault="00A27664" w:rsidP="00A27664">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قلت: إنّ التمسّك بإطلاق تلك الأدلّة موقوف على إحراز كون الإمام(ع) في مقام البيان من هذه الجهة، وإحراز ذلك غير ممكن، بل قد يدّعى حصول الاطمئنان بأنّ الإمام(ع) لم يكن في مقام البيان من هذه الجهة أصلاً</w:t>
      </w:r>
      <w:r>
        <w:rPr>
          <w:rFonts w:cs="Abz-2 (Badr)" w:hint="cs"/>
          <w:color w:val="000000" w:themeColor="text1"/>
          <w:sz w:val="28"/>
          <w:szCs w:val="28"/>
          <w:rtl/>
          <w:lang w:bidi="fa-IR"/>
        </w:rPr>
        <w:t>.</w:t>
      </w:r>
    </w:p>
    <w:p w14:paraId="2A7F1E0B" w14:textId="77777777" w:rsidR="00A27664" w:rsidRDefault="00A27664" w:rsidP="00A2766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وأمّا إذا لم تكن للمطلّقة الرجعيّة شبهة في الوطء بل كانت الشبهة من جهة الواطي فقط، فدعوى كاشف اللثام حينئذٍ في محلّها، والجواب الذي أورده صاحب الجواهر على إشكاله لا يمكن الالتزام به، لأنّ توبة المطلّقة لا تزيل حكم النشوز عنها، كما لو خرجت في سفر غير واجب بغير إذن زوجها ثمّ تابت، فإنّها ما لم تعد إلى بيت الزوج لا تستحقّ النفقة ولا تؤثّر توبتها في هذا الحكم.</w:t>
      </w:r>
    </w:p>
    <w:p w14:paraId="69B05A5E" w14:textId="77777777" w:rsidR="00A27664" w:rsidRDefault="00A27664" w:rsidP="00A27664">
      <w:pPr>
        <w:widowControl w:val="0"/>
        <w:bidi/>
        <w:spacing w:after="0"/>
        <w:ind w:firstLine="284"/>
        <w:jc w:val="both"/>
        <w:rPr>
          <w:rFonts w:cs="Abz-2 (Badr)" w:hint="cs"/>
          <w:color w:val="000000" w:themeColor="text1"/>
          <w:sz w:val="28"/>
          <w:szCs w:val="28"/>
          <w:rtl/>
        </w:rPr>
      </w:pPr>
      <w:r>
        <w:rPr>
          <w:rFonts w:cs="Abz-2 (Badr)" w:hint="cs"/>
          <w:color w:val="7030A0"/>
          <w:sz w:val="28"/>
          <w:szCs w:val="28"/>
          <w:rtl/>
        </w:rPr>
        <w:t xml:space="preserve">الفرض الثاني: </w:t>
      </w:r>
      <w:r>
        <w:rPr>
          <w:rFonts w:cs="Abz-2 (Badr)" w:hint="cs"/>
          <w:color w:val="000000" w:themeColor="text1"/>
          <w:sz w:val="28"/>
          <w:szCs w:val="28"/>
          <w:rtl/>
        </w:rPr>
        <w:t>الزوجة التي وطئت بشبهة.</w:t>
      </w:r>
    </w:p>
    <w:p w14:paraId="2D87C834"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في هذه الحالة يكون استحقاق الزوجة للنفقة أوضح من الفرض السابق، لأنّه لا إشكال في صدق عنوان الزوجة عليها وإن حصل الوطء بشبهة، وعدم جواز وطئها أو مطلق الاستمتاع منها لا يوجب سقوط نفقتها مادامت هي غير مقصّرة في ذلك ومعذورة شرعاً.</w:t>
      </w:r>
    </w:p>
    <w:p w14:paraId="4D1836A0" w14:textId="77777777" w:rsidR="00A27664" w:rsidRDefault="00A27664" w:rsidP="00A27664">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نعم، في الفرض الذي تكون فيه الشبهة من جهة الواطي فقط دون الزوجة، يجري ما تقدّم في الفرض السابق، فلا تستحقّ الزوجة النفقة في المدّة التي تعتدّ فيها من وطء الشبهة.</w:t>
      </w:r>
    </w:p>
    <w:p w14:paraId="34F479C2" w14:textId="77777777" w:rsidR="00A27664" w:rsidRDefault="00A27664" w:rsidP="00A2766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ثمّ إنّ ما ذكرناه مبنيّ على ما اتّخذناه مبنیً في هذه المسألة من أنّ النشوز هو المانع من استحقاق النفقة.</w:t>
      </w:r>
    </w:p>
    <w:p w14:paraId="21EFD4F4" w14:textId="77777777" w:rsidR="00A27664" w:rsidRDefault="00A27664" w:rsidP="00A2766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وأمّا على مبنى المشهور القائل بأنّ التمكين شرط في وجوب النفقة، من غير فرق بين أن يكون الأمر بالتمكين متوجّهاً إلى الزوجة فعلاً أم لا، فمقتضى القاعدة عدم استحقاق المطلّقة الرجعيّة أو الزوجة التي وطئت بشبهة للنفقة مطلقاً.</w:t>
      </w:r>
    </w:p>
    <w:p w14:paraId="08C96771" w14:textId="77777777" w:rsidR="00A27664" w:rsidRDefault="00A27664" w:rsidP="00A27664">
      <w:pPr>
        <w:widowControl w:val="0"/>
        <w:bidi/>
        <w:spacing w:after="0"/>
        <w:ind w:firstLine="284"/>
        <w:jc w:val="both"/>
        <w:rPr>
          <w:rFonts w:cs="Abz-2 (Badr)" w:hint="cs"/>
          <w:color w:val="000000" w:themeColor="text1"/>
          <w:sz w:val="28"/>
          <w:szCs w:val="28"/>
          <w:rtl/>
          <w:lang w:bidi="fa-IR"/>
        </w:rPr>
      </w:pPr>
    </w:p>
    <w:p w14:paraId="2AD04477" w14:textId="7D63A4A4" w:rsidR="00B706A3" w:rsidRPr="00A27664" w:rsidRDefault="00B706A3" w:rsidP="00A27664">
      <w:pPr>
        <w:rPr>
          <w:rtl/>
        </w:rPr>
      </w:pPr>
    </w:p>
    <w:sectPr w:rsidR="00B706A3" w:rsidRPr="00A27664"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8AA39" w14:textId="77777777" w:rsidR="00B013B7" w:rsidRDefault="00B013B7" w:rsidP="00F71127">
      <w:pPr>
        <w:spacing w:after="0" w:line="240" w:lineRule="auto"/>
      </w:pPr>
      <w:r>
        <w:separator/>
      </w:r>
    </w:p>
  </w:endnote>
  <w:endnote w:type="continuationSeparator" w:id="0">
    <w:p w14:paraId="4A5B1F5F" w14:textId="77777777" w:rsidR="00B013B7" w:rsidRDefault="00B013B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13AF" w14:textId="77777777" w:rsidR="00A27664" w:rsidRDefault="00A27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C7FD" w14:textId="77777777" w:rsidR="00A27664" w:rsidRDefault="00A27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7B15" w14:textId="77777777" w:rsidR="00B013B7" w:rsidRDefault="00B013B7" w:rsidP="00EE25C0">
      <w:pPr>
        <w:bidi/>
        <w:spacing w:after="0" w:line="240" w:lineRule="auto"/>
      </w:pPr>
      <w:r>
        <w:separator/>
      </w:r>
    </w:p>
  </w:footnote>
  <w:footnote w:type="continuationSeparator" w:id="0">
    <w:p w14:paraId="1CE4713D" w14:textId="77777777" w:rsidR="00B013B7" w:rsidRDefault="00B013B7" w:rsidP="00F71127">
      <w:pPr>
        <w:bidi/>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E96D" w14:textId="77777777" w:rsidR="00A27664" w:rsidRDefault="00A276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5B03408"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27664">
                            <w:rPr>
                              <w:rFonts w:cs="B Mehr" w:hint="cs"/>
                              <w:rtl/>
                              <w:lang w:bidi="fa-IR"/>
                            </w:rPr>
                            <w:t>17</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5B03408"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27664">
                      <w:rPr>
                        <w:rFonts w:cs="B Mehr" w:hint="cs"/>
                        <w:rtl/>
                        <w:lang w:bidi="fa-IR"/>
                      </w:rPr>
                      <w:t>17</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60E1" w14:textId="77777777" w:rsidR="00A27664" w:rsidRDefault="00A276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652</cp:revision>
  <cp:lastPrinted>2025-04-14T09:12:00Z</cp:lastPrinted>
  <dcterms:created xsi:type="dcterms:W3CDTF">2022-10-16T08:36:00Z</dcterms:created>
  <dcterms:modified xsi:type="dcterms:W3CDTF">2025-11-08T08:30:00Z</dcterms:modified>
</cp:coreProperties>
</file>