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C990E" w14:textId="77777777" w:rsidR="008172D9" w:rsidRDefault="008172D9" w:rsidP="008172D9">
      <w:pPr>
        <w:widowControl w:val="0"/>
        <w:bidi/>
        <w:spacing w:after="0"/>
        <w:jc w:val="center"/>
        <w:rPr>
          <w:rFonts w:cs="QuranTaha"/>
          <w:sz w:val="28"/>
          <w:szCs w:val="28"/>
          <w:lang w:bidi="fa-IR"/>
        </w:rPr>
      </w:pPr>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4A78A333" w14:textId="77777777" w:rsidR="008172D9" w:rsidRDefault="008172D9" w:rsidP="008172D9">
      <w:pPr>
        <w:widowControl w:val="0"/>
        <w:bidi/>
        <w:spacing w:after="0"/>
        <w:jc w:val="center"/>
        <w:rPr>
          <w:rFonts w:cs="B Mitra" w:hint="cs"/>
          <w:b/>
          <w:bCs/>
          <w:sz w:val="32"/>
          <w:szCs w:val="32"/>
          <w:rtl/>
          <w:lang w:bidi="fa-IR"/>
        </w:rPr>
      </w:pPr>
      <w:r>
        <w:rPr>
          <w:rFonts w:cs="B Mitra" w:hint="cs"/>
          <w:b/>
          <w:bCs/>
          <w:sz w:val="32"/>
          <w:szCs w:val="32"/>
          <w:rtl/>
          <w:lang w:bidi="fa-IR"/>
        </w:rPr>
        <w:t>تقریر بحث فقه</w:t>
      </w:r>
    </w:p>
    <w:p w14:paraId="1119B1C6" w14:textId="77777777" w:rsidR="008172D9" w:rsidRDefault="008172D9" w:rsidP="008172D9">
      <w:pPr>
        <w:widowControl w:val="0"/>
        <w:bidi/>
        <w:spacing w:after="0"/>
        <w:jc w:val="center"/>
        <w:rPr>
          <w:rFonts w:cs="B Mitra" w:hint="cs"/>
          <w:b/>
          <w:bCs/>
          <w:sz w:val="32"/>
          <w:szCs w:val="32"/>
          <w:rtl/>
          <w:lang w:bidi="fa-IR"/>
        </w:rPr>
      </w:pPr>
      <w:r>
        <w:rPr>
          <w:rFonts w:cs="B Mitra" w:hint="cs"/>
          <w:b/>
          <w:bCs/>
          <w:sz w:val="32"/>
          <w:szCs w:val="32"/>
          <w:rtl/>
          <w:lang w:bidi="fa-IR"/>
        </w:rPr>
        <w:t>جلسه 865</w:t>
      </w:r>
    </w:p>
    <w:p w14:paraId="21C5AF08" w14:textId="77777777" w:rsidR="008172D9" w:rsidRDefault="008172D9" w:rsidP="008172D9">
      <w:pPr>
        <w:widowControl w:val="0"/>
        <w:bidi/>
        <w:spacing w:after="0"/>
        <w:ind w:firstLine="284"/>
        <w:jc w:val="both"/>
        <w:rPr>
          <w:rFonts w:cs="Abz-2 (Badr)" w:hint="cs"/>
          <w:sz w:val="28"/>
          <w:szCs w:val="28"/>
          <w:rtl/>
          <w:lang w:bidi="fa-IR"/>
        </w:rPr>
      </w:pPr>
      <w:bookmarkStart w:id="0" w:name="_Hlk159096966"/>
    </w:p>
    <w:bookmarkEnd w:id="0"/>
    <w:p w14:paraId="37D87EED" w14:textId="77777777" w:rsidR="008172D9" w:rsidRDefault="008172D9" w:rsidP="008172D9">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بحث ما در اين مسأله بود که آيا هزينه آلات تنظيف در زمان عده رجعی بر عهده مطلق است يا خير؟</w:t>
      </w:r>
    </w:p>
    <w:p w14:paraId="078A2CB5" w14:textId="77777777" w:rsidR="008172D9" w:rsidRDefault="008172D9" w:rsidP="008172D9">
      <w:pPr>
        <w:widowControl w:val="0"/>
        <w:bidi/>
        <w:spacing w:after="0"/>
        <w:ind w:firstLine="284"/>
        <w:jc w:val="both"/>
        <w:rPr>
          <w:rFonts w:cs="Abz-2 (Badr)"/>
          <w:color w:val="000000" w:themeColor="text1"/>
          <w:sz w:val="28"/>
          <w:szCs w:val="28"/>
          <w:lang w:bidi="ar"/>
        </w:rPr>
      </w:pPr>
      <w:r>
        <w:rPr>
          <w:rFonts w:cs="Abz-2 (Badr)" w:hint="cs"/>
          <w:color w:val="000000" w:themeColor="text1"/>
          <w:sz w:val="28"/>
          <w:szCs w:val="28"/>
          <w:rtl/>
          <w:lang w:bidi="ar"/>
        </w:rPr>
        <w:t>آنچه که در اين مسأله می</w:t>
      </w:r>
      <w:r>
        <w:rPr>
          <w:rFonts w:cs="Abz-2 (Badr)" w:hint="cs"/>
          <w:color w:val="000000" w:themeColor="text1"/>
          <w:sz w:val="28"/>
          <w:szCs w:val="28"/>
          <w:rtl/>
          <w:lang w:bidi="ar"/>
        </w:rPr>
        <w:softHyphen/>
        <w:t>توان به آن ملتزم شد اين است که اگر مراد از آلات تنظيف، چيزهايی است که مطلقه در امر نظافت شخصی خود به آنها نيازمند است ولو اين که مطلق قصد استمتاع از او را نيز نداشته باشد، وجه وجوب دفع هزينه آنها از قبل مطلق ادله</w:t>
      </w:r>
      <w:r>
        <w:rPr>
          <w:rFonts w:cs="Abz-2 (Badr)" w:hint="cs"/>
          <w:color w:val="000000" w:themeColor="text1"/>
          <w:sz w:val="28"/>
          <w:szCs w:val="28"/>
          <w:rtl/>
          <w:lang w:bidi="ar"/>
        </w:rPr>
        <w:softHyphen/>
        <w:t>ای است که بعداً خواهد آمد ان شاء الله که آنچه که عرفاً زوجه برای معيشت خود به آنها نيازمند است، پرداخت هزينه آنها بر عهده زوج است، ولو مدخليتی در استمتاع زوج از وی نداشته باشند. وچون مطلقه رجعيه زوجه يا در حکم وی است، در نتيجه پرداخت هزينه</w:t>
      </w:r>
      <w:r>
        <w:rPr>
          <w:rFonts w:cs="Abz-2 (Badr)" w:hint="cs"/>
          <w:color w:val="000000" w:themeColor="text1"/>
          <w:sz w:val="28"/>
          <w:szCs w:val="28"/>
          <w:rtl/>
          <w:lang w:bidi="ar"/>
        </w:rPr>
        <w:softHyphen/>
        <w:t>های مذکور در مطلقه رجعيه نيز بر عهده مطلق است.</w:t>
      </w:r>
    </w:p>
    <w:p w14:paraId="5AE1D0BA" w14:textId="77777777" w:rsidR="008172D9" w:rsidRDefault="008172D9" w:rsidP="008172D9">
      <w:pPr>
        <w:widowControl w:val="0"/>
        <w:bidi/>
        <w:spacing w:after="0"/>
        <w:ind w:firstLine="284"/>
        <w:jc w:val="both"/>
        <w:rPr>
          <w:rFonts w:cs="Abz-2 (Badr)" w:hint="cs"/>
          <w:color w:val="000000" w:themeColor="text1"/>
          <w:sz w:val="28"/>
          <w:szCs w:val="28"/>
          <w:rtl/>
          <w:lang w:bidi="ar"/>
        </w:rPr>
      </w:pPr>
      <w:r>
        <w:rPr>
          <w:rFonts w:cs="Abz-2 (Badr)" w:hint="cs"/>
          <w:color w:val="000000" w:themeColor="text1"/>
          <w:sz w:val="28"/>
          <w:szCs w:val="28"/>
          <w:rtl/>
          <w:lang w:bidi="ar"/>
        </w:rPr>
        <w:t>و چنانچه مراد از وسائل تنظيف اموری باشد که بر طبق عرف و عادت، زوجه نيازی به آنها ندارد مگر اين که زوج اراده استمتاع از وی را بنمايد، در اين صورت اگر مطلق به گونه</w:t>
      </w:r>
      <w:r>
        <w:rPr>
          <w:rFonts w:cs="Abz-2 (Badr)" w:hint="cs"/>
          <w:color w:val="000000" w:themeColor="text1"/>
          <w:sz w:val="28"/>
          <w:szCs w:val="28"/>
          <w:rtl/>
          <w:lang w:bidi="ar"/>
        </w:rPr>
        <w:softHyphen/>
        <w:t>ای باشد که بود و نبود آن آلات در رغبت وی در استمتاع مدخليتی نداشته باشد، دليلی برای وجوب پرداخت هزينه</w:t>
      </w:r>
      <w:r>
        <w:rPr>
          <w:rFonts w:cs="Abz-2 (Badr)" w:hint="cs"/>
          <w:color w:val="000000" w:themeColor="text1"/>
          <w:sz w:val="28"/>
          <w:szCs w:val="28"/>
          <w:rtl/>
          <w:lang w:bidi="ar"/>
        </w:rPr>
        <w:softHyphen/>
        <w:t>های آن آلات بر وی وجود ندارد، وگرنه بعيد نيست گفته شود که بر وی پرداخت هزينه</w:t>
      </w:r>
      <w:r>
        <w:rPr>
          <w:rFonts w:cs="Abz-2 (Badr)" w:hint="cs"/>
          <w:color w:val="000000" w:themeColor="text1"/>
          <w:sz w:val="28"/>
          <w:szCs w:val="28"/>
          <w:rtl/>
          <w:lang w:bidi="ar"/>
        </w:rPr>
        <w:softHyphen/>
        <w:t>های مذکور واجب است، زيرا عرف در اين فرض استفاده از آن آلات را برای زوجه ـ که مطلقه رجعيه در حکم وی است ـ از امور ضروری به حساب می</w:t>
      </w:r>
      <w:r>
        <w:rPr>
          <w:rFonts w:cs="Abz-2 (Badr)" w:hint="cs"/>
          <w:color w:val="000000" w:themeColor="text1"/>
          <w:sz w:val="28"/>
          <w:szCs w:val="28"/>
          <w:rtl/>
          <w:lang w:bidi="ar"/>
        </w:rPr>
        <w:softHyphen/>
        <w:t>آورد.</w:t>
      </w:r>
    </w:p>
    <w:p w14:paraId="24115985" w14:textId="77777777" w:rsidR="008172D9" w:rsidRDefault="008172D9" w:rsidP="008172D9">
      <w:pPr>
        <w:widowControl w:val="0"/>
        <w:bidi/>
        <w:spacing w:after="0"/>
        <w:ind w:firstLine="284"/>
        <w:jc w:val="both"/>
        <w:rPr>
          <w:rFonts w:cs="Abz-2 (Badr)" w:hint="cs"/>
          <w:color w:val="000000" w:themeColor="text1"/>
          <w:sz w:val="28"/>
          <w:szCs w:val="28"/>
          <w:rtl/>
          <w:lang w:bidi="ar"/>
        </w:rPr>
      </w:pPr>
      <w:r>
        <w:rPr>
          <w:rFonts w:cs="Abz-2 (Badr)" w:hint="cs"/>
          <w:color w:val="00B050"/>
          <w:sz w:val="28"/>
          <w:szCs w:val="28"/>
          <w:rtl/>
          <w:lang w:bidi="ar"/>
        </w:rPr>
        <w:t xml:space="preserve">فرع دوم: </w:t>
      </w:r>
      <w:r>
        <w:rPr>
          <w:rFonts w:cs="Abz-2 (Badr)" w:hint="cs"/>
          <w:color w:val="000000" w:themeColor="text1"/>
          <w:sz w:val="28"/>
          <w:szCs w:val="28"/>
          <w:rtl/>
          <w:lang w:bidi="ar"/>
        </w:rPr>
        <w:t>اگر مطلقه رجعيه در ايام عده وطء به شبهه شود، آيا نفقه او در مدتی که در عده وطء به شبهه است، بر زوج واجب است؟ و نيز زوجه ذات بعل چنانچه وطء به شبهه شود، در ايامی که در عده قرار دارد، آيا نفقه او بر زوج واجب است؟</w:t>
      </w:r>
    </w:p>
    <w:p w14:paraId="48A41703" w14:textId="77777777" w:rsidR="008172D9" w:rsidRDefault="008172D9" w:rsidP="008172D9">
      <w:pPr>
        <w:widowControl w:val="0"/>
        <w:bidi/>
        <w:spacing w:after="0"/>
        <w:ind w:firstLine="284"/>
        <w:jc w:val="both"/>
        <w:rPr>
          <w:rFonts w:cs="Abz-2 (Badr)" w:hint="cs"/>
          <w:color w:val="0070C0"/>
          <w:sz w:val="28"/>
          <w:szCs w:val="28"/>
          <w:rtl/>
          <w:lang w:bidi="ar"/>
        </w:rPr>
      </w:pPr>
      <w:r>
        <w:rPr>
          <w:rFonts w:cs="Abz-2 (Badr)" w:hint="cs"/>
          <w:color w:val="000000" w:themeColor="text1"/>
          <w:sz w:val="28"/>
          <w:szCs w:val="28"/>
          <w:rtl/>
          <w:lang w:bidi="ar"/>
        </w:rPr>
        <w:t>علامه در قواعد می</w:t>
      </w:r>
      <w:r>
        <w:rPr>
          <w:rFonts w:cs="Abz-2 (Badr)" w:hint="cs"/>
          <w:color w:val="000000" w:themeColor="text1"/>
          <w:sz w:val="28"/>
          <w:szCs w:val="28"/>
          <w:rtl/>
          <w:lang w:bidi="ar"/>
        </w:rPr>
        <w:softHyphen/>
        <w:t xml:space="preserve">فرمايد: </w:t>
      </w:r>
      <w:r>
        <w:rPr>
          <w:rFonts w:cs="Abz-2 (Badr)" w:hint="cs"/>
          <w:color w:val="0070C0"/>
          <w:sz w:val="28"/>
          <w:szCs w:val="28"/>
          <w:rtl/>
          <w:lang w:bidi="ar"/>
        </w:rPr>
        <w:t xml:space="preserve">«تجب النفقة للمطلّقة رجعيّاً، إلاّ إذا حبلت من الشبهة وتأخّرت عدّة الزوج وقلنا: لا رجعة </w:t>
      </w:r>
      <w:r>
        <w:rPr>
          <w:rFonts w:cs="Abz-2 (Badr)" w:hint="cs"/>
          <w:color w:val="0070C0"/>
          <w:sz w:val="28"/>
          <w:szCs w:val="28"/>
          <w:rtl/>
          <w:lang w:bidi="ar"/>
        </w:rPr>
        <w:lastRenderedPageBreak/>
        <w:t>له في الحال، فلا تجب النفقة على إشكال. ولو قلنا له الرجعة فلها النفقة...</w:t>
      </w:r>
    </w:p>
    <w:p w14:paraId="5A13A3CE" w14:textId="77777777" w:rsidR="008172D9" w:rsidRDefault="008172D9" w:rsidP="008172D9">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والمعتدّة عن شبهة إن كانت في نكاح فلا نفقة لها على الزوج على إشكال.»</w:t>
      </w:r>
      <w:r>
        <w:rPr>
          <w:rStyle w:val="FootnoteReference"/>
          <w:rFonts w:cs="Abz-2 (Badr)"/>
          <w:color w:val="000000" w:themeColor="text1"/>
          <w:sz w:val="28"/>
          <w:szCs w:val="28"/>
          <w:rtl/>
          <w:lang w:bidi="ar"/>
        </w:rPr>
        <w:footnoteReference w:id="1"/>
      </w:r>
    </w:p>
    <w:p w14:paraId="3E800E3F" w14:textId="77777777" w:rsidR="008172D9" w:rsidRDefault="008172D9" w:rsidP="008172D9">
      <w:pPr>
        <w:widowControl w:val="0"/>
        <w:bidi/>
        <w:spacing w:after="0"/>
        <w:ind w:firstLine="284"/>
        <w:jc w:val="both"/>
        <w:rPr>
          <w:rFonts w:cs="Abz-2 (Badr)" w:hint="cs"/>
          <w:color w:val="0070C0"/>
          <w:sz w:val="28"/>
          <w:szCs w:val="28"/>
          <w:rtl/>
          <w:lang w:bidi="ar"/>
        </w:rPr>
      </w:pPr>
      <w:r>
        <w:rPr>
          <w:rFonts w:cs="Abz-2 (Badr)" w:hint="cs"/>
          <w:color w:val="000000" w:themeColor="text1"/>
          <w:sz w:val="28"/>
          <w:szCs w:val="28"/>
          <w:rtl/>
          <w:lang w:bidi="fa-IR"/>
        </w:rPr>
        <w:t>کاشف اللثام در توضيح وجه اشکال علامه در مسأله در فرض اول می</w:t>
      </w:r>
      <w:r>
        <w:rPr>
          <w:rFonts w:cs="Abz-2 (Badr)" w:hint="cs"/>
          <w:color w:val="000000" w:themeColor="text1"/>
          <w:sz w:val="28"/>
          <w:szCs w:val="28"/>
          <w:rtl/>
          <w:lang w:bidi="fa-IR"/>
        </w:rPr>
        <w:softHyphen/>
        <w:t xml:space="preserve">فرمايد: </w:t>
      </w:r>
      <w:r>
        <w:rPr>
          <w:rFonts w:cs="Abz-2 (Badr)" w:hint="cs"/>
          <w:color w:val="0070C0"/>
          <w:sz w:val="28"/>
          <w:szCs w:val="28"/>
          <w:rtl/>
          <w:lang w:bidi="fa-IR"/>
        </w:rPr>
        <w:t>«</w:t>
      </w:r>
      <w:r>
        <w:rPr>
          <w:rFonts w:cs="Abz-2 (Badr)" w:hint="cs"/>
          <w:color w:val="0070C0"/>
          <w:sz w:val="28"/>
          <w:szCs w:val="28"/>
          <w:rtl/>
          <w:lang w:bidi="ar"/>
        </w:rPr>
        <w:t>من أنّ‌ النفقة إنّما تجب للزوجة ومن في حكمها وهي من في العدّة الرجعيّة، لكونها بمنزلة الزوجة الممكّنة، لأنّ‌ له الرجوع إليها متى شاء، والأمران منتفيان. ومن بقاء حكم الزوجيّة وإن امتنع الرجوع الآن لمانع كما تجب النفقة على الزوجة الصائمة والمحرمة مع امتناع الاستمتاع بها، وإطلاق النصّ‌.</w:t>
      </w:r>
    </w:p>
    <w:p w14:paraId="51AF5CC1" w14:textId="77777777" w:rsidR="008172D9" w:rsidRDefault="008172D9" w:rsidP="008172D9">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هذا إذا كانت الشبهة منها أو من الواطي أيضاً. وإن اختصّت بالواطي فالأظهر عدم النفقة، فإنّها التي تسبّبت لامتناع الرجوع، فهي كالناشز.»</w:t>
      </w:r>
      <w:r>
        <w:rPr>
          <w:rStyle w:val="FootnoteReference"/>
          <w:rFonts w:cs="Abz-2 (Badr)"/>
          <w:color w:val="000000" w:themeColor="text1"/>
          <w:sz w:val="28"/>
          <w:szCs w:val="28"/>
          <w:rtl/>
          <w:lang w:bidi="ar"/>
        </w:rPr>
        <w:footnoteReference w:id="2"/>
      </w:r>
    </w:p>
    <w:p w14:paraId="4F863819" w14:textId="77777777" w:rsidR="008172D9" w:rsidRDefault="008172D9" w:rsidP="008172D9">
      <w:pPr>
        <w:widowControl w:val="0"/>
        <w:bidi/>
        <w:spacing w:after="0"/>
        <w:ind w:firstLine="284"/>
        <w:jc w:val="both"/>
        <w:rPr>
          <w:rFonts w:cs="Abz-2 (Badr)" w:hint="cs"/>
          <w:color w:val="0070C0"/>
          <w:sz w:val="28"/>
          <w:szCs w:val="28"/>
          <w:rtl/>
          <w:lang w:bidi="ar"/>
        </w:rPr>
      </w:pPr>
      <w:r>
        <w:rPr>
          <w:rFonts w:cs="Abz-2 (Badr)" w:hint="cs"/>
          <w:color w:val="000000" w:themeColor="text1"/>
          <w:sz w:val="28"/>
          <w:szCs w:val="28"/>
          <w:rtl/>
          <w:lang w:bidi="fa-IR"/>
        </w:rPr>
        <w:t>اما صاحب جواهر با اشکال در ذيل کلام کاشف اللثام می</w:t>
      </w:r>
      <w:r>
        <w:rPr>
          <w:rFonts w:cs="Abz-2 (Badr)" w:hint="cs"/>
          <w:color w:val="000000" w:themeColor="text1"/>
          <w:sz w:val="28"/>
          <w:szCs w:val="28"/>
          <w:rtl/>
          <w:lang w:bidi="fa-IR"/>
        </w:rPr>
        <w:softHyphen/>
        <w:t xml:space="preserve">فرمايد: </w:t>
      </w:r>
      <w:r>
        <w:rPr>
          <w:rFonts w:cs="Abz-2 (Badr)" w:hint="cs"/>
          <w:color w:val="0070C0"/>
          <w:sz w:val="28"/>
          <w:szCs w:val="28"/>
          <w:rtl/>
          <w:lang w:bidi="ar"/>
        </w:rPr>
        <w:t>«لو فرض توبتها عن ذلك كانت كغيرها، بل قد يمنع صدق النشوز بذلك. اللهمّ إلا أن يدّعى أولويّته منه في إسقاطه النفقة.</w:t>
      </w:r>
    </w:p>
    <w:p w14:paraId="6B22E4B5" w14:textId="77777777" w:rsidR="008172D9" w:rsidRDefault="008172D9" w:rsidP="008172D9">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والظاهر بناء الحكم في هذه المسألة على الحكم في الزوجة إذا وطئت شبهة، فإنّه لا فرق بينهما. لكن في القواعد الإشكال في نفقتها أيضاً... ولعلّه من انتفاء التمكين، ومن العذر كالمريضة.</w:t>
      </w:r>
    </w:p>
    <w:p w14:paraId="34ACD47D" w14:textId="77777777" w:rsidR="008172D9" w:rsidRDefault="008172D9" w:rsidP="008172D9">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وربما فرّق بينهما بوجود النصّ على الإنفاق في المطلّقة بخلاف الباقية في النكاح، إلا أنّه كما ترى، ضرورة أولويّتها منها بذلك، والاتّفاق على الإنفاق على الباقية في النكاح، وهو إن لم يكن أقوى من النصّ فلا يقصر عنه. على أنّ ما دل من الكتاب والسنّة على النفقة للزوجة كافٍ.</w:t>
      </w:r>
    </w:p>
    <w:p w14:paraId="65608611" w14:textId="77777777" w:rsidR="008172D9" w:rsidRDefault="008172D9" w:rsidP="008172D9">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وعلى كلّ حال فالأقوى وجوب الإنفاق عليها مع عدم اختصاص الشبهة بالواطي، بل ومعه أيضا في وجه قويّ.»</w:t>
      </w:r>
      <w:r>
        <w:rPr>
          <w:rStyle w:val="FootnoteReference"/>
          <w:rFonts w:cs="Abz-2 (Badr)"/>
          <w:color w:val="000000" w:themeColor="text1"/>
          <w:sz w:val="28"/>
          <w:szCs w:val="28"/>
          <w:rtl/>
          <w:lang w:bidi="ar"/>
        </w:rPr>
        <w:footnoteReference w:id="3"/>
      </w:r>
    </w:p>
    <w:p w14:paraId="43041F08" w14:textId="77777777" w:rsidR="008172D9" w:rsidRDefault="008172D9" w:rsidP="008172D9">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جلسه آينده به بيان مقتضای تحقيق در مسأله خواهيم پرداخت ان شاء الله.</w:t>
      </w:r>
    </w:p>
    <w:p w14:paraId="10273C1E" w14:textId="77777777" w:rsidR="008172D9" w:rsidRDefault="008172D9" w:rsidP="008172D9">
      <w:pPr>
        <w:rPr>
          <w:rFonts w:cs="Abz-2 (Badr)" w:hint="cs"/>
          <w:color w:val="000000" w:themeColor="text1"/>
          <w:sz w:val="28"/>
          <w:szCs w:val="28"/>
          <w:rtl/>
        </w:rPr>
      </w:pPr>
      <w:r>
        <w:rPr>
          <w:rFonts w:cs="Abz-2 (Badr)" w:hint="cs"/>
          <w:color w:val="000000" w:themeColor="text1"/>
          <w:sz w:val="28"/>
          <w:szCs w:val="28"/>
          <w:rtl/>
        </w:rPr>
        <w:lastRenderedPageBreak/>
        <w:br w:type="page"/>
      </w:r>
    </w:p>
    <w:p w14:paraId="4C3A05F1" w14:textId="77777777" w:rsidR="008172D9" w:rsidRDefault="008172D9" w:rsidP="008172D9">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lastRenderedPageBreak/>
        <w:t>كان بحثنا حول أنّه هل تكون نفقات آلات التنظيف للمطلّقة الرجعيّة في زمن العدّة على عهدة المطلّق أم لا؟</w:t>
      </w:r>
    </w:p>
    <w:p w14:paraId="6902CD7C" w14:textId="77777777" w:rsidR="008172D9" w:rsidRDefault="008172D9" w:rsidP="008172D9">
      <w:pPr>
        <w:widowControl w:val="0"/>
        <w:bidi/>
        <w:spacing w:after="0"/>
        <w:ind w:firstLine="284"/>
        <w:jc w:val="both"/>
        <w:rPr>
          <w:rFonts w:cs="Abz-2 (Badr)" w:hint="cs"/>
          <w:color w:val="000000" w:themeColor="text1"/>
          <w:sz w:val="28"/>
          <w:szCs w:val="28"/>
          <w:rtl/>
          <w:lang w:bidi="ar"/>
        </w:rPr>
      </w:pPr>
      <w:r>
        <w:rPr>
          <w:rFonts w:cs="Abz-2 (Badr)" w:hint="cs"/>
          <w:color w:val="000000" w:themeColor="text1"/>
          <w:sz w:val="28"/>
          <w:szCs w:val="28"/>
          <w:rtl/>
        </w:rPr>
        <w:t>والذي يمكن القول به في هذه المسألة هو التفصيل بأنّه إن أُريد بآلات التنظيف ما تحتاج إليه المطلّقة في نظافتها الشخصيّة وإن لم يقصد المطلّق الاستمتاع بها، فوجه وجوب دفع نفقاتها على المطلّق هو ما يستفاد من عمومات الأدلّة ـ التي سيأتي ذكرها إن شاء الله ـ الدالّة على أنّ كلّ ما تحتاج إليه الزوجة عرفاً في معيشتها، فعلى الزوج تهيئته والإنفاق عليه، وإن لم يكن له مدخل في الاستمتاع بها. ولمّا كانت المطلّقة الرجعيّة زوجة أو في حكم الزوجة، فإنّها تلحق بها في هذا الحكم، فيجب على المطلّق دفع نفقات تلك الأدوات أيضاً.</w:t>
      </w:r>
    </w:p>
    <w:p w14:paraId="2B91ED35" w14:textId="77777777" w:rsidR="008172D9" w:rsidRDefault="008172D9" w:rsidP="008172D9">
      <w:pPr>
        <w:widowControl w:val="0"/>
        <w:bidi/>
        <w:spacing w:after="0"/>
        <w:ind w:firstLine="284"/>
        <w:jc w:val="both"/>
        <w:rPr>
          <w:rFonts w:cs="Abz-2 (Badr)"/>
          <w:color w:val="000000" w:themeColor="text1"/>
          <w:sz w:val="28"/>
          <w:szCs w:val="28"/>
        </w:rPr>
      </w:pPr>
      <w:r>
        <w:rPr>
          <w:rFonts w:cs="Abz-2 (Badr)" w:hint="cs"/>
          <w:color w:val="000000" w:themeColor="text1"/>
          <w:sz w:val="28"/>
          <w:szCs w:val="28"/>
          <w:rtl/>
        </w:rPr>
        <w:t>وأمّا إن أُريد بوسائل التنظيف ما لا تحتاج إليه عادة إلا عند إرادة الاستمتاع من قبل الزوج، فحينئذٍ إن كان المطلّق بحيث لا مدخليّة للتزيّن بتلك الوسائل في رغبته في الاستمتاع، فلا دليل على وجوب دفع نفقاتها عليه. وأمّا إن كانت للتزيّن بتلك الوسائل مدخليّة عرفيّة في حصول الرغبة والتهيّؤ للاستمتاع، فلا يستبعد القول بوجوبها عليه، لأنّ العرف في هذه الصورة يعدّ استعمال تلك الأدوات من ضرورات شؤون الزوجة والمطلّقة الرجعيّة في حكمها.</w:t>
      </w:r>
    </w:p>
    <w:p w14:paraId="1845D7F5" w14:textId="77777777" w:rsidR="008172D9" w:rsidRDefault="008172D9" w:rsidP="008172D9">
      <w:pPr>
        <w:widowControl w:val="0"/>
        <w:bidi/>
        <w:spacing w:after="0"/>
        <w:ind w:firstLine="284"/>
        <w:jc w:val="both"/>
        <w:rPr>
          <w:rFonts w:cs="Abz-2 (Badr)"/>
          <w:color w:val="000000" w:themeColor="text1"/>
          <w:sz w:val="28"/>
          <w:szCs w:val="28"/>
          <w:lang w:bidi="ar"/>
        </w:rPr>
      </w:pPr>
      <w:bookmarkStart w:id="1" w:name="_Hlk213060783"/>
      <w:r>
        <w:rPr>
          <w:rFonts w:cs="Abz-2 (Badr)" w:hint="cs"/>
          <w:color w:val="00B050"/>
          <w:sz w:val="28"/>
          <w:szCs w:val="28"/>
          <w:rtl/>
        </w:rPr>
        <w:t xml:space="preserve">الفرع الثاني: </w:t>
      </w:r>
      <w:r>
        <w:rPr>
          <w:rFonts w:cs="Abz-2 (Badr)" w:hint="cs"/>
          <w:color w:val="000000" w:themeColor="text1"/>
          <w:sz w:val="28"/>
          <w:szCs w:val="28"/>
          <w:rtl/>
        </w:rPr>
        <w:t>إذا وطئت المطلّقة رجعيّاً في أيّام العدّة بشبهة، فهل تجب نفقتها في المدّة التي تكون فيها في عدّة الوطء بالشبهة على الزوج أم لا؟ وكذلك إذا وطئت الزوجة ذات البعل بشبهة، فهل تجب نفقتها في أيّام عدّتها على الزوج أو لا؟</w:t>
      </w:r>
    </w:p>
    <w:p w14:paraId="4A7A9357" w14:textId="77777777" w:rsidR="008172D9" w:rsidRDefault="008172D9" w:rsidP="008172D9">
      <w:pPr>
        <w:widowControl w:val="0"/>
        <w:bidi/>
        <w:spacing w:after="0"/>
        <w:ind w:firstLine="284"/>
        <w:jc w:val="both"/>
        <w:rPr>
          <w:rFonts w:cs="Abz-2 (Badr)"/>
          <w:color w:val="0070C0"/>
          <w:sz w:val="28"/>
          <w:szCs w:val="28"/>
          <w:lang w:bidi="ar"/>
        </w:rPr>
      </w:pPr>
      <w:r>
        <w:rPr>
          <w:rFonts w:cs="Abz-2 (Badr)" w:hint="cs"/>
          <w:color w:val="000000" w:themeColor="text1"/>
          <w:sz w:val="28"/>
          <w:szCs w:val="28"/>
          <w:rtl/>
        </w:rPr>
        <w:t>قال العلامة في القواعد</w:t>
      </w:r>
      <w:r>
        <w:rPr>
          <w:rFonts w:cs="Abz-2 (Badr)" w:hint="cs"/>
          <w:color w:val="000000" w:themeColor="text1"/>
          <w:sz w:val="28"/>
          <w:szCs w:val="28"/>
          <w:rtl/>
          <w:lang w:bidi="ar"/>
        </w:rPr>
        <w:t xml:space="preserve">: </w:t>
      </w:r>
      <w:r>
        <w:rPr>
          <w:rFonts w:cs="Abz-2 (Badr)" w:hint="cs"/>
          <w:color w:val="0070C0"/>
          <w:sz w:val="28"/>
          <w:szCs w:val="28"/>
          <w:rtl/>
          <w:lang w:bidi="ar"/>
        </w:rPr>
        <w:t>«تجب النفقة للمطلّقة رجعيّاً، إلاّ إذا حبلت من الشبهة وتأخّرت عدّة الزوج وقلنا: لا رجعة له في الحال، فلا تجب النفقة على إشكال. ولو قلنا له الرجعة فلها النفقة...</w:t>
      </w:r>
    </w:p>
    <w:p w14:paraId="5B73596E" w14:textId="77777777" w:rsidR="008172D9" w:rsidRDefault="008172D9" w:rsidP="008172D9">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والمعتدّة عن شبهة إن كانت في نكاح فلا نفقة لها على الزوج على إشكال.»</w:t>
      </w:r>
      <w:r>
        <w:rPr>
          <w:rStyle w:val="FootnoteReference"/>
          <w:rFonts w:cs="Abz-2 (Badr)"/>
          <w:color w:val="000000" w:themeColor="text1"/>
          <w:sz w:val="28"/>
          <w:szCs w:val="28"/>
          <w:rtl/>
          <w:lang w:bidi="ar"/>
        </w:rPr>
        <w:footnoteReference w:id="4"/>
      </w:r>
    </w:p>
    <w:p w14:paraId="733AAF38" w14:textId="77777777" w:rsidR="008172D9" w:rsidRDefault="008172D9" w:rsidP="008172D9">
      <w:pPr>
        <w:widowControl w:val="0"/>
        <w:bidi/>
        <w:spacing w:after="0"/>
        <w:ind w:firstLine="284"/>
        <w:jc w:val="both"/>
        <w:rPr>
          <w:rFonts w:cs="Abz-2 (Badr)" w:hint="cs"/>
          <w:color w:val="0070C0"/>
          <w:sz w:val="28"/>
          <w:szCs w:val="28"/>
          <w:rtl/>
          <w:lang w:bidi="ar"/>
        </w:rPr>
      </w:pPr>
      <w:r>
        <w:rPr>
          <w:rFonts w:cs="Abz-2 (Badr)" w:hint="cs"/>
          <w:color w:val="000000" w:themeColor="text1"/>
          <w:sz w:val="28"/>
          <w:szCs w:val="28"/>
          <w:rtl/>
        </w:rPr>
        <w:t>وقال كاشف اللثام في بيان وجه ما استشکله العلامة في الفرض الأوّل</w:t>
      </w:r>
      <w:r>
        <w:rPr>
          <w:rFonts w:cs="Abz-2 (Badr)" w:hint="cs"/>
          <w:color w:val="000000" w:themeColor="text1"/>
          <w:sz w:val="28"/>
          <w:szCs w:val="28"/>
          <w:rtl/>
          <w:lang w:bidi="fa-IR"/>
        </w:rPr>
        <w:t xml:space="preserve">: </w:t>
      </w:r>
      <w:r>
        <w:rPr>
          <w:rFonts w:cs="Abz-2 (Badr)" w:hint="cs"/>
          <w:color w:val="0070C0"/>
          <w:sz w:val="28"/>
          <w:szCs w:val="28"/>
          <w:rtl/>
          <w:lang w:bidi="fa-IR"/>
        </w:rPr>
        <w:t>«</w:t>
      </w:r>
      <w:r>
        <w:rPr>
          <w:rFonts w:cs="Abz-2 (Badr)" w:hint="cs"/>
          <w:color w:val="0070C0"/>
          <w:sz w:val="28"/>
          <w:szCs w:val="28"/>
          <w:rtl/>
          <w:lang w:bidi="ar"/>
        </w:rPr>
        <w:t>من أنّ‌ النفقة إنّما تجب للزوجة ومن في حكمها وهي من في العدّة الرجعيّة، لكونها بمنزلة الزوجة الممكّنة، لأنّ‌ له الرجوع إليها متى شاء، والأمران منتفيان. ومن بقاء حكم الزوجيّة وإن امتنع الرجوع الآن لمانع كما تجب النفقة على الزوجة الصائمة والمحرمة مع امتناع الاستمتاع بها، وإطلاق النصّ‌.</w:t>
      </w:r>
    </w:p>
    <w:p w14:paraId="2D60E484" w14:textId="77777777" w:rsidR="008172D9" w:rsidRDefault="008172D9" w:rsidP="008172D9">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lastRenderedPageBreak/>
        <w:t>هذا إذا كانت الشبهة منها أو من الواطي أيضاً. وإن اختصّت بالواطي فالأظهر عدم النفقة، فإنّها التي تسبّبت لامتناع الرجوع، فهي كالناشز.»</w:t>
      </w:r>
      <w:r>
        <w:rPr>
          <w:rStyle w:val="FootnoteReference"/>
          <w:rFonts w:cs="Abz-2 (Badr)"/>
          <w:color w:val="000000" w:themeColor="text1"/>
          <w:sz w:val="28"/>
          <w:szCs w:val="28"/>
          <w:rtl/>
          <w:lang w:bidi="ar"/>
        </w:rPr>
        <w:footnoteReference w:id="5"/>
      </w:r>
    </w:p>
    <w:p w14:paraId="792B6874" w14:textId="77777777" w:rsidR="008172D9" w:rsidRDefault="008172D9" w:rsidP="008172D9">
      <w:pPr>
        <w:widowControl w:val="0"/>
        <w:bidi/>
        <w:spacing w:after="0"/>
        <w:ind w:firstLine="284"/>
        <w:jc w:val="both"/>
        <w:rPr>
          <w:rFonts w:cs="Abz-2 (Badr)" w:hint="cs"/>
          <w:color w:val="0070C0"/>
          <w:sz w:val="28"/>
          <w:szCs w:val="28"/>
          <w:rtl/>
          <w:lang w:bidi="ar"/>
        </w:rPr>
      </w:pPr>
      <w:r>
        <w:rPr>
          <w:rFonts w:cs="Abz-2 (Badr)" w:hint="cs"/>
          <w:color w:val="000000" w:themeColor="text1"/>
          <w:sz w:val="28"/>
          <w:szCs w:val="28"/>
          <w:rtl/>
        </w:rPr>
        <w:t>أمّا صاحب الجواهر فقد ناقش ذيل كلام كاشف اللثام بقوله</w:t>
      </w:r>
      <w:r>
        <w:rPr>
          <w:rFonts w:cs="Abz-2 (Badr)" w:hint="cs"/>
          <w:color w:val="000000" w:themeColor="text1"/>
          <w:sz w:val="28"/>
          <w:szCs w:val="28"/>
          <w:rtl/>
          <w:lang w:bidi="fa-IR"/>
        </w:rPr>
        <w:t xml:space="preserve">: </w:t>
      </w:r>
      <w:r>
        <w:rPr>
          <w:rFonts w:cs="Abz-2 (Badr)" w:hint="cs"/>
          <w:color w:val="0070C0"/>
          <w:sz w:val="28"/>
          <w:szCs w:val="28"/>
          <w:rtl/>
          <w:lang w:bidi="ar"/>
        </w:rPr>
        <w:t>«لو فرض توبتها عن ذلك كانت كغيرها، بل قد يمنع صدق النشوز بذلك. اللهمّ إلا أن يدّعى أولويّته منه في إسقاطه النفقة.</w:t>
      </w:r>
    </w:p>
    <w:p w14:paraId="11531571" w14:textId="77777777" w:rsidR="008172D9" w:rsidRDefault="008172D9" w:rsidP="008172D9">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والظاهر بناء الحكم في هذه المسألة على الحكم في الزوجة إذا وطئت شبهة، فإنّه لا فرق بينهما. لكن في القواعد الإشكال في نفقتها أيضاً... ولعلّه من انتفاء التمكين، ومن العذر كالمريضة.</w:t>
      </w:r>
    </w:p>
    <w:p w14:paraId="3B6A47B9" w14:textId="77777777" w:rsidR="008172D9" w:rsidRDefault="008172D9" w:rsidP="008172D9">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وربما فرّق بينهما بوجود النصّ على الإنفاق في المطلّقة بخلاف الباقية في النكاح، إلا أنّه كما ترى، ضرورة أولويّتها منها بذلك، والاتّفاق على الإنفاق على الباقية في النكاح، وهو إن لم يكن أقوى من النصّ فلا يقصر عنه. على أنّ ما دل من الكتاب والسنّة على النفقة للزوجة كافٍ.</w:t>
      </w:r>
    </w:p>
    <w:p w14:paraId="774E5C78" w14:textId="77777777" w:rsidR="008172D9" w:rsidRDefault="008172D9" w:rsidP="008172D9">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وعلى كلّ حال فالأقوى وجوب الإنفاق عليها مع عدم اختصاص الشبهة بالواطي، بل ومعه أيضا في وجه قويّ.»</w:t>
      </w:r>
      <w:r>
        <w:rPr>
          <w:rStyle w:val="FootnoteReference"/>
          <w:rFonts w:cs="Abz-2 (Badr)"/>
          <w:color w:val="000000" w:themeColor="text1"/>
          <w:sz w:val="28"/>
          <w:szCs w:val="28"/>
          <w:rtl/>
          <w:lang w:bidi="ar"/>
        </w:rPr>
        <w:footnoteReference w:id="6"/>
      </w:r>
    </w:p>
    <w:bookmarkEnd w:id="1"/>
    <w:p w14:paraId="143E66C0" w14:textId="77777777" w:rsidR="008172D9" w:rsidRDefault="008172D9" w:rsidP="008172D9">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lang w:bidi="ar"/>
        </w:rPr>
        <w:t>و</w:t>
      </w:r>
      <w:r>
        <w:rPr>
          <w:rFonts w:cs="Abz-2 (Badr)" w:hint="cs"/>
          <w:color w:val="000000" w:themeColor="text1"/>
          <w:sz w:val="28"/>
          <w:szCs w:val="28"/>
          <w:rtl/>
        </w:rPr>
        <w:t>سنعقّب في الجلسة القادمة ببيان مقتضى التحقيق في المسألة إن شاء الله تعالى.</w:t>
      </w:r>
    </w:p>
    <w:p w14:paraId="2AD04477" w14:textId="7D63A4A4" w:rsidR="00B706A3" w:rsidRPr="008172D9" w:rsidRDefault="00B706A3" w:rsidP="008172D9">
      <w:pPr>
        <w:rPr>
          <w:rtl/>
        </w:rPr>
      </w:pPr>
    </w:p>
    <w:sectPr w:rsidR="00B706A3" w:rsidRPr="008172D9" w:rsidSect="005815B4">
      <w:headerReference w:type="default" r:id="rId7"/>
      <w:footerReference w:type="default" r:id="rId8"/>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B218D" w14:textId="77777777" w:rsidR="0056550B" w:rsidRDefault="0056550B" w:rsidP="00F71127">
      <w:pPr>
        <w:spacing w:after="0" w:line="240" w:lineRule="auto"/>
      </w:pPr>
      <w:r>
        <w:separator/>
      </w:r>
    </w:p>
  </w:endnote>
  <w:endnote w:type="continuationSeparator" w:id="0">
    <w:p w14:paraId="6766865F" w14:textId="77777777" w:rsidR="0056550B" w:rsidRDefault="0056550B"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altName w:val="Arial"/>
    <w:panose1 w:val="00000400000000000000"/>
    <w:charset w:val="B2"/>
    <w:family w:val="auto"/>
    <w:pitch w:val="variable"/>
    <w:sig w:usb0="00002001" w:usb1="00000000" w:usb2="00000000" w:usb3="00000000" w:csb0="00000040" w:csb1="00000000"/>
  </w:font>
  <w:font w:name="IRBadr">
    <w:altName w:val="Arial"/>
    <w:charset w:val="00"/>
    <w:family w:val="auto"/>
    <w:pitch w:val="variable"/>
    <w:sig w:usb0="00002003" w:usb1="00000000" w:usb2="00000000" w:usb3="00000000" w:csb0="00000041"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E762FF" w14:textId="77777777" w:rsidR="0056550B" w:rsidRDefault="0056550B" w:rsidP="00EE25C0">
      <w:pPr>
        <w:bidi/>
        <w:spacing w:after="0" w:line="240" w:lineRule="auto"/>
      </w:pPr>
      <w:r>
        <w:separator/>
      </w:r>
    </w:p>
  </w:footnote>
  <w:footnote w:type="continuationSeparator" w:id="0">
    <w:p w14:paraId="077F999D" w14:textId="77777777" w:rsidR="0056550B" w:rsidRDefault="0056550B" w:rsidP="00F71127">
      <w:pPr>
        <w:bidi/>
        <w:spacing w:after="0" w:line="240" w:lineRule="auto"/>
      </w:pPr>
      <w:r>
        <w:continuationSeparator/>
      </w:r>
    </w:p>
  </w:footnote>
  <w:footnote w:id="1">
    <w:p w14:paraId="38F890AB" w14:textId="77777777" w:rsidR="008172D9" w:rsidRDefault="008172D9" w:rsidP="008172D9">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قواعد الأحکام،ج3،ص109 و 110.</w:t>
      </w:r>
    </w:p>
  </w:footnote>
  <w:footnote w:id="2">
    <w:p w14:paraId="32D2BD73" w14:textId="77777777" w:rsidR="008172D9" w:rsidRDefault="008172D9" w:rsidP="008172D9">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 xml:space="preserve">ـ </w:t>
      </w:r>
      <w:r>
        <w:rPr>
          <w:rFonts w:cs="Abz-2 (Badr)" w:hint="cs"/>
          <w:rtl/>
        </w:rPr>
        <w:t>کشف اللثام،ج7،ص580.</w:t>
      </w:r>
    </w:p>
  </w:footnote>
  <w:footnote w:id="3">
    <w:p w14:paraId="59BAA9A3" w14:textId="77777777" w:rsidR="008172D9" w:rsidRDefault="008172D9" w:rsidP="008172D9">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 xml:space="preserve">ـ </w:t>
      </w:r>
      <w:r>
        <w:rPr>
          <w:rFonts w:cs="Abz-2 (Badr)" w:hint="cs"/>
          <w:rtl/>
        </w:rPr>
        <w:t>جواهر الکلام،ج31،ص318.</w:t>
      </w:r>
    </w:p>
  </w:footnote>
  <w:footnote w:id="4">
    <w:p w14:paraId="690AA948" w14:textId="77777777" w:rsidR="008172D9" w:rsidRDefault="008172D9" w:rsidP="008172D9">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 xml:space="preserve">ـ </w:t>
      </w:r>
      <w:r>
        <w:rPr>
          <w:rFonts w:cs="Abz-2 (Badr)" w:hint="cs"/>
          <w:rtl/>
        </w:rPr>
        <w:t>قواعد الأحکام،ج3،ص109 و 110.</w:t>
      </w:r>
    </w:p>
  </w:footnote>
  <w:footnote w:id="5">
    <w:p w14:paraId="590D0B8B" w14:textId="77777777" w:rsidR="008172D9" w:rsidRDefault="008172D9" w:rsidP="008172D9">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 xml:space="preserve">ـ </w:t>
      </w:r>
      <w:r>
        <w:rPr>
          <w:rFonts w:cs="Abz-2 (Badr)" w:hint="cs"/>
          <w:rtl/>
        </w:rPr>
        <w:t>کشف اللثام،ج7،ص580.</w:t>
      </w:r>
    </w:p>
  </w:footnote>
  <w:footnote w:id="6">
    <w:p w14:paraId="6480ABE9" w14:textId="77777777" w:rsidR="008172D9" w:rsidRDefault="008172D9" w:rsidP="008172D9">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 xml:space="preserve">ـ </w:t>
      </w:r>
      <w:r>
        <w:rPr>
          <w:rFonts w:cs="Abz-2 (Badr)" w:hint="cs"/>
          <w:rtl/>
        </w:rPr>
        <w:t>جواهر الکلام،ج31،ص318.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77799980">
              <wp:simplePos x="0" y="0"/>
              <wp:positionH relativeFrom="column">
                <wp:posOffset>1595120</wp:posOffset>
              </wp:positionH>
              <wp:positionV relativeFrom="paragraph">
                <wp:posOffset>180975</wp:posOffset>
              </wp:positionV>
              <wp:extent cx="4484370" cy="176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76212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582EA835"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E54A06">
                            <w:rPr>
                              <w:rFonts w:cs="B Mehr" w:hint="cs"/>
                              <w:rtl/>
                              <w:lang w:bidi="fa-IR"/>
                            </w:rPr>
                            <w:t xml:space="preserve"> </w:t>
                          </w:r>
                          <w:r w:rsidR="00A1665A">
                            <w:rPr>
                              <w:rFonts w:cs="B Mehr" w:hint="cs"/>
                              <w:rtl/>
                              <w:lang w:bidi="fa-IR"/>
                            </w:rPr>
                            <w:t xml:space="preserve"> </w:t>
                          </w:r>
                          <w:r w:rsidR="008E2CD5">
                            <w:rPr>
                              <w:rFonts w:cs="B Mehr" w:hint="cs"/>
                              <w:rtl/>
                              <w:lang w:bidi="fa-IR"/>
                            </w:rPr>
                            <w:t xml:space="preserve"> </w:t>
                          </w:r>
                          <w:r w:rsidR="00F60C09">
                            <w:rPr>
                              <w:rFonts w:cs="B Mehr" w:hint="cs"/>
                              <w:rtl/>
                              <w:lang w:bidi="fa-IR"/>
                            </w:rPr>
                            <w:t xml:space="preserve"> </w:t>
                          </w:r>
                          <w:r w:rsidR="008172D9">
                            <w:rPr>
                              <w:rFonts w:cs="B Mehr" w:hint="cs"/>
                              <w:rtl/>
                              <w:lang w:bidi="fa-IR"/>
                            </w:rPr>
                            <w:t>یک</w:t>
                          </w:r>
                          <w:r w:rsidR="00A835C9">
                            <w:rPr>
                              <w:rFonts w:cs="B Mehr" w:hint="cs"/>
                              <w:rtl/>
                              <w:lang w:bidi="fa-IR"/>
                            </w:rPr>
                            <w:t>شنبه</w:t>
                          </w:r>
                          <w:r>
                            <w:rPr>
                              <w:rFonts w:cs="B Mehr" w:hint="cs"/>
                              <w:rtl/>
                              <w:lang w:bidi="fa-IR"/>
                            </w:rPr>
                            <w:t xml:space="preserve"> </w:t>
                          </w:r>
                          <w:r>
                            <w:rPr>
                              <w:rFonts w:cs="B Mehr" w:hint="cs"/>
                              <w:rtl/>
                            </w:rPr>
                            <w:t xml:space="preserve">،   </w:t>
                          </w:r>
                          <w:r w:rsidR="008172D9">
                            <w:rPr>
                              <w:rFonts w:cs="B Mehr" w:hint="cs"/>
                              <w:rtl/>
                              <w:lang w:bidi="fa-IR"/>
                            </w:rPr>
                            <w:t>11</w:t>
                          </w:r>
                          <w:r w:rsidR="00C64E5C">
                            <w:rPr>
                              <w:rFonts w:cs="B Mehr" w:hint="cs"/>
                              <w:rtl/>
                              <w:lang w:bidi="fa-IR"/>
                            </w:rPr>
                            <w:t xml:space="preserve"> </w:t>
                          </w:r>
                          <w:r w:rsidR="00A1665A">
                            <w:rPr>
                              <w:rFonts w:cs="B Mehr" w:hint="cs"/>
                              <w:rtl/>
                              <w:lang w:bidi="fa-IR"/>
                            </w:rPr>
                            <w:t xml:space="preserve"> آبان ماه</w:t>
                          </w:r>
                          <w:r>
                            <w:rPr>
                              <w:rFonts w:cs="B Mehr" w:hint="cs"/>
                              <w:rtl/>
                            </w:rPr>
                            <w:t xml:space="preserve">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25.6pt;margin-top:14.25pt;width:353.1pt;height:13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582EA835"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E54A06">
                      <w:rPr>
                        <w:rFonts w:cs="B Mehr" w:hint="cs"/>
                        <w:rtl/>
                        <w:lang w:bidi="fa-IR"/>
                      </w:rPr>
                      <w:t xml:space="preserve"> </w:t>
                    </w:r>
                    <w:r w:rsidR="00A1665A">
                      <w:rPr>
                        <w:rFonts w:cs="B Mehr" w:hint="cs"/>
                        <w:rtl/>
                        <w:lang w:bidi="fa-IR"/>
                      </w:rPr>
                      <w:t xml:space="preserve"> </w:t>
                    </w:r>
                    <w:r w:rsidR="008E2CD5">
                      <w:rPr>
                        <w:rFonts w:cs="B Mehr" w:hint="cs"/>
                        <w:rtl/>
                        <w:lang w:bidi="fa-IR"/>
                      </w:rPr>
                      <w:t xml:space="preserve"> </w:t>
                    </w:r>
                    <w:r w:rsidR="00F60C09">
                      <w:rPr>
                        <w:rFonts w:cs="B Mehr" w:hint="cs"/>
                        <w:rtl/>
                        <w:lang w:bidi="fa-IR"/>
                      </w:rPr>
                      <w:t xml:space="preserve"> </w:t>
                    </w:r>
                    <w:r w:rsidR="008172D9">
                      <w:rPr>
                        <w:rFonts w:cs="B Mehr" w:hint="cs"/>
                        <w:rtl/>
                        <w:lang w:bidi="fa-IR"/>
                      </w:rPr>
                      <w:t>یک</w:t>
                    </w:r>
                    <w:r w:rsidR="00A835C9">
                      <w:rPr>
                        <w:rFonts w:cs="B Mehr" w:hint="cs"/>
                        <w:rtl/>
                        <w:lang w:bidi="fa-IR"/>
                      </w:rPr>
                      <w:t>شنبه</w:t>
                    </w:r>
                    <w:r>
                      <w:rPr>
                        <w:rFonts w:cs="B Mehr" w:hint="cs"/>
                        <w:rtl/>
                        <w:lang w:bidi="fa-IR"/>
                      </w:rPr>
                      <w:t xml:space="preserve"> </w:t>
                    </w:r>
                    <w:r>
                      <w:rPr>
                        <w:rFonts w:cs="B Mehr" w:hint="cs"/>
                        <w:rtl/>
                      </w:rPr>
                      <w:t xml:space="preserve">،   </w:t>
                    </w:r>
                    <w:r w:rsidR="008172D9">
                      <w:rPr>
                        <w:rFonts w:cs="B Mehr" w:hint="cs"/>
                        <w:rtl/>
                        <w:lang w:bidi="fa-IR"/>
                      </w:rPr>
                      <w:t>11</w:t>
                    </w:r>
                    <w:r w:rsidR="00C64E5C">
                      <w:rPr>
                        <w:rFonts w:cs="B Mehr" w:hint="cs"/>
                        <w:rtl/>
                        <w:lang w:bidi="fa-IR"/>
                      </w:rPr>
                      <w:t xml:space="preserve"> </w:t>
                    </w:r>
                    <w:r w:rsidR="00A1665A">
                      <w:rPr>
                        <w:rFonts w:cs="B Mehr" w:hint="cs"/>
                        <w:rtl/>
                        <w:lang w:bidi="fa-IR"/>
                      </w:rPr>
                      <w:t xml:space="preserve"> آبان ماه</w:t>
                    </w:r>
                    <w:r>
                      <w:rPr>
                        <w:rFonts w:cs="B Mehr" w:hint="cs"/>
                        <w:rtl/>
                      </w:rPr>
                      <w:t xml:space="preserve">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6D08"/>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13DF"/>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88F"/>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24C"/>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14F5"/>
    <w:rsid w:val="0012351C"/>
    <w:rsid w:val="00123767"/>
    <w:rsid w:val="00123C66"/>
    <w:rsid w:val="00123FCE"/>
    <w:rsid w:val="00125597"/>
    <w:rsid w:val="001255F1"/>
    <w:rsid w:val="00125951"/>
    <w:rsid w:val="00125FA8"/>
    <w:rsid w:val="00125FDD"/>
    <w:rsid w:val="0012644A"/>
    <w:rsid w:val="0012691C"/>
    <w:rsid w:val="00126D34"/>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37E8"/>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67463"/>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1586"/>
    <w:rsid w:val="001E2500"/>
    <w:rsid w:val="001E259D"/>
    <w:rsid w:val="001E2F1F"/>
    <w:rsid w:val="001E316E"/>
    <w:rsid w:val="001E42BD"/>
    <w:rsid w:val="001E42C2"/>
    <w:rsid w:val="001E4A2F"/>
    <w:rsid w:val="001E5318"/>
    <w:rsid w:val="001E5F90"/>
    <w:rsid w:val="001E7DD4"/>
    <w:rsid w:val="001F0D9D"/>
    <w:rsid w:val="001F10F8"/>
    <w:rsid w:val="001F22D4"/>
    <w:rsid w:val="001F2A91"/>
    <w:rsid w:val="001F2AD5"/>
    <w:rsid w:val="001F2B6B"/>
    <w:rsid w:val="001F4E1F"/>
    <w:rsid w:val="001F55A0"/>
    <w:rsid w:val="001F5FEF"/>
    <w:rsid w:val="001F7036"/>
    <w:rsid w:val="001F7146"/>
    <w:rsid w:val="001F7742"/>
    <w:rsid w:val="001F7B61"/>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2CC8"/>
    <w:rsid w:val="00223760"/>
    <w:rsid w:val="00224A02"/>
    <w:rsid w:val="00224B4E"/>
    <w:rsid w:val="00225039"/>
    <w:rsid w:val="0022642F"/>
    <w:rsid w:val="00226A06"/>
    <w:rsid w:val="00226BFA"/>
    <w:rsid w:val="002275B4"/>
    <w:rsid w:val="00230ACF"/>
    <w:rsid w:val="00230EC1"/>
    <w:rsid w:val="0023164B"/>
    <w:rsid w:val="002316AF"/>
    <w:rsid w:val="00231CAC"/>
    <w:rsid w:val="0023210B"/>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166"/>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666"/>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98C"/>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41B2"/>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486"/>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27A58"/>
    <w:rsid w:val="0043017E"/>
    <w:rsid w:val="00430B2C"/>
    <w:rsid w:val="004325DD"/>
    <w:rsid w:val="00432F13"/>
    <w:rsid w:val="00433357"/>
    <w:rsid w:val="004333C8"/>
    <w:rsid w:val="0043340D"/>
    <w:rsid w:val="004335E4"/>
    <w:rsid w:val="00434053"/>
    <w:rsid w:val="004342E8"/>
    <w:rsid w:val="00435007"/>
    <w:rsid w:val="0043525A"/>
    <w:rsid w:val="004360B2"/>
    <w:rsid w:val="00436E12"/>
    <w:rsid w:val="0043733E"/>
    <w:rsid w:val="00437D81"/>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333"/>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6D4"/>
    <w:rsid w:val="004B67F7"/>
    <w:rsid w:val="004B69C8"/>
    <w:rsid w:val="004B6FFA"/>
    <w:rsid w:val="004B709D"/>
    <w:rsid w:val="004B7366"/>
    <w:rsid w:val="004B78A6"/>
    <w:rsid w:val="004C09DD"/>
    <w:rsid w:val="004C0A9B"/>
    <w:rsid w:val="004C1512"/>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4F6906"/>
    <w:rsid w:val="00501417"/>
    <w:rsid w:val="00501DA0"/>
    <w:rsid w:val="00501E11"/>
    <w:rsid w:val="00501E40"/>
    <w:rsid w:val="00504523"/>
    <w:rsid w:val="0050472E"/>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6E95"/>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714"/>
    <w:rsid w:val="00524815"/>
    <w:rsid w:val="00524A85"/>
    <w:rsid w:val="0052536B"/>
    <w:rsid w:val="00525A13"/>
    <w:rsid w:val="00525E9B"/>
    <w:rsid w:val="00526273"/>
    <w:rsid w:val="0052728F"/>
    <w:rsid w:val="00527B4D"/>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3AB8"/>
    <w:rsid w:val="005545A6"/>
    <w:rsid w:val="00554B94"/>
    <w:rsid w:val="00554D35"/>
    <w:rsid w:val="0055671F"/>
    <w:rsid w:val="00556729"/>
    <w:rsid w:val="00556776"/>
    <w:rsid w:val="005568E8"/>
    <w:rsid w:val="00557416"/>
    <w:rsid w:val="00557A92"/>
    <w:rsid w:val="0056175F"/>
    <w:rsid w:val="005617D1"/>
    <w:rsid w:val="00561AC7"/>
    <w:rsid w:val="005627B1"/>
    <w:rsid w:val="005628BC"/>
    <w:rsid w:val="0056332E"/>
    <w:rsid w:val="00563EA3"/>
    <w:rsid w:val="00563EA9"/>
    <w:rsid w:val="00564B32"/>
    <w:rsid w:val="00564CA4"/>
    <w:rsid w:val="0056550B"/>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5B4"/>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0C80"/>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1D2"/>
    <w:rsid w:val="005D0294"/>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33"/>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552D"/>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A2F"/>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1CB"/>
    <w:rsid w:val="006779C5"/>
    <w:rsid w:val="00677FD6"/>
    <w:rsid w:val="00680C0B"/>
    <w:rsid w:val="00680C33"/>
    <w:rsid w:val="00681573"/>
    <w:rsid w:val="00681BD4"/>
    <w:rsid w:val="006835A9"/>
    <w:rsid w:val="00683E00"/>
    <w:rsid w:val="0068409B"/>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607"/>
    <w:rsid w:val="006C773B"/>
    <w:rsid w:val="006C7A51"/>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C08"/>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A19"/>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2A3"/>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172D9"/>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359A"/>
    <w:rsid w:val="00834DD1"/>
    <w:rsid w:val="0083511D"/>
    <w:rsid w:val="008353D8"/>
    <w:rsid w:val="0083604C"/>
    <w:rsid w:val="00836783"/>
    <w:rsid w:val="00836FC7"/>
    <w:rsid w:val="00837B06"/>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2E1B"/>
    <w:rsid w:val="0087360A"/>
    <w:rsid w:val="00874389"/>
    <w:rsid w:val="008744A3"/>
    <w:rsid w:val="008751D3"/>
    <w:rsid w:val="008755CE"/>
    <w:rsid w:val="00875CD7"/>
    <w:rsid w:val="00875F23"/>
    <w:rsid w:val="00876056"/>
    <w:rsid w:val="00876372"/>
    <w:rsid w:val="008774CF"/>
    <w:rsid w:val="00880173"/>
    <w:rsid w:val="00880698"/>
    <w:rsid w:val="00880E6D"/>
    <w:rsid w:val="00881627"/>
    <w:rsid w:val="00881E43"/>
    <w:rsid w:val="00882A45"/>
    <w:rsid w:val="008830C4"/>
    <w:rsid w:val="00883153"/>
    <w:rsid w:val="00884018"/>
    <w:rsid w:val="00884197"/>
    <w:rsid w:val="00884A15"/>
    <w:rsid w:val="00885058"/>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6E18"/>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2CD5"/>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5B73"/>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11"/>
    <w:rsid w:val="00964A2C"/>
    <w:rsid w:val="00965DD0"/>
    <w:rsid w:val="009664CC"/>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460"/>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017"/>
    <w:rsid w:val="009B7814"/>
    <w:rsid w:val="009C1C9D"/>
    <w:rsid w:val="009C3068"/>
    <w:rsid w:val="009C3B0D"/>
    <w:rsid w:val="009C3C9C"/>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65A"/>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2C8C"/>
    <w:rsid w:val="00A2314A"/>
    <w:rsid w:val="00A23159"/>
    <w:rsid w:val="00A23AD9"/>
    <w:rsid w:val="00A2412C"/>
    <w:rsid w:val="00A24ED5"/>
    <w:rsid w:val="00A25398"/>
    <w:rsid w:val="00A264FF"/>
    <w:rsid w:val="00A2700D"/>
    <w:rsid w:val="00A272BC"/>
    <w:rsid w:val="00A27527"/>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D48"/>
    <w:rsid w:val="00A81FF9"/>
    <w:rsid w:val="00A82392"/>
    <w:rsid w:val="00A835C9"/>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66"/>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18DB"/>
    <w:rsid w:val="00AC299D"/>
    <w:rsid w:val="00AC2CDC"/>
    <w:rsid w:val="00AC3031"/>
    <w:rsid w:val="00AC314F"/>
    <w:rsid w:val="00AC34A0"/>
    <w:rsid w:val="00AC3C0E"/>
    <w:rsid w:val="00AC3C34"/>
    <w:rsid w:val="00AC47C4"/>
    <w:rsid w:val="00AC52D0"/>
    <w:rsid w:val="00AC631D"/>
    <w:rsid w:val="00AC63D7"/>
    <w:rsid w:val="00AC676F"/>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2CB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49BC"/>
    <w:rsid w:val="00B550C0"/>
    <w:rsid w:val="00B553EC"/>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06A3"/>
    <w:rsid w:val="00B71B91"/>
    <w:rsid w:val="00B7242C"/>
    <w:rsid w:val="00B73524"/>
    <w:rsid w:val="00B73698"/>
    <w:rsid w:val="00B74363"/>
    <w:rsid w:val="00B74659"/>
    <w:rsid w:val="00B7468F"/>
    <w:rsid w:val="00B7484F"/>
    <w:rsid w:val="00B74BF5"/>
    <w:rsid w:val="00B74F0F"/>
    <w:rsid w:val="00B7557E"/>
    <w:rsid w:val="00B75C0B"/>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4633"/>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347"/>
    <w:rsid w:val="00BF1FA6"/>
    <w:rsid w:val="00BF2570"/>
    <w:rsid w:val="00BF2C43"/>
    <w:rsid w:val="00BF2CBE"/>
    <w:rsid w:val="00BF46B9"/>
    <w:rsid w:val="00BF51AC"/>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3FC"/>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4E5C"/>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359"/>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99B"/>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2739"/>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4E65"/>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68F4"/>
    <w:rsid w:val="00D67225"/>
    <w:rsid w:val="00D701D9"/>
    <w:rsid w:val="00D70280"/>
    <w:rsid w:val="00D708AC"/>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13A"/>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3E3C"/>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2F91"/>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0D"/>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4A0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18C"/>
    <w:rsid w:val="00EA35EC"/>
    <w:rsid w:val="00EA36CE"/>
    <w:rsid w:val="00EA3E74"/>
    <w:rsid w:val="00EA57A0"/>
    <w:rsid w:val="00EA5958"/>
    <w:rsid w:val="00EA648C"/>
    <w:rsid w:val="00EA7966"/>
    <w:rsid w:val="00EB050B"/>
    <w:rsid w:val="00EB1D58"/>
    <w:rsid w:val="00EB26DB"/>
    <w:rsid w:val="00EB2FF6"/>
    <w:rsid w:val="00EB312B"/>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6E16"/>
    <w:rsid w:val="00EF7708"/>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6EA8"/>
    <w:rsid w:val="00F1763E"/>
    <w:rsid w:val="00F17CBB"/>
    <w:rsid w:val="00F22DCF"/>
    <w:rsid w:val="00F248CE"/>
    <w:rsid w:val="00F24CA8"/>
    <w:rsid w:val="00F25495"/>
    <w:rsid w:val="00F25A88"/>
    <w:rsid w:val="00F2670D"/>
    <w:rsid w:val="00F275E0"/>
    <w:rsid w:val="00F27E84"/>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1E"/>
    <w:rsid w:val="00F46AE2"/>
    <w:rsid w:val="00F46B08"/>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0C09"/>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87992"/>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29AA"/>
    <w:rsid w:val="00FA310B"/>
    <w:rsid w:val="00FA3411"/>
    <w:rsid w:val="00FA3904"/>
    <w:rsid w:val="00FA3DF2"/>
    <w:rsid w:val="00FA41CD"/>
    <w:rsid w:val="00FA41F1"/>
    <w:rsid w:val="00FA4541"/>
    <w:rsid w:val="00FA4D69"/>
    <w:rsid w:val="00FA52DD"/>
    <w:rsid w:val="00FA5403"/>
    <w:rsid w:val="00FA5DD1"/>
    <w:rsid w:val="00FA6266"/>
    <w:rsid w:val="00FA69BB"/>
    <w:rsid w:val="00FA6CA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1F2E"/>
    <w:rsid w:val="00FE2D69"/>
    <w:rsid w:val="00FE339B"/>
    <w:rsid w:val="00FE3CCD"/>
    <w:rsid w:val="00FE3E51"/>
    <w:rsid w:val="00FE4A36"/>
    <w:rsid w:val="00FE5178"/>
    <w:rsid w:val="00FE5CC2"/>
    <w:rsid w:val="00FE64B4"/>
    <w:rsid w:val="00FE741C"/>
    <w:rsid w:val="00FE7F32"/>
    <w:rsid w:val="00FF0795"/>
    <w:rsid w:val="00FF3A94"/>
    <w:rsid w:val="00FF3BB3"/>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 w:type="paragraph" w:customStyle="1" w:styleId="a0">
    <w:name w:val="روایت و آیه"/>
    <w:basedOn w:val="Normal"/>
    <w:link w:val="Char"/>
    <w:qFormat/>
    <w:rsid w:val="00C64E5C"/>
    <w:pPr>
      <w:bidi/>
      <w:jc w:val="both"/>
    </w:pPr>
    <w:rPr>
      <w:rFonts w:ascii="IRBadr" w:hAnsi="IRBadr" w:cs="IRBadr"/>
      <w:b/>
      <w:bCs/>
      <w:color w:val="00B050"/>
      <w:kern w:val="2"/>
      <w:sz w:val="27"/>
      <w:szCs w:val="27"/>
      <w:lang w:bidi="fa-IR"/>
      <w14:ligatures w14:val="standardContextual"/>
    </w:rPr>
  </w:style>
  <w:style w:type="character" w:customStyle="1" w:styleId="Char">
    <w:name w:val="روایت و آیه Char"/>
    <w:basedOn w:val="DefaultParagraphFont"/>
    <w:link w:val="a0"/>
    <w:rsid w:val="00C64E5C"/>
    <w:rPr>
      <w:rFonts w:ascii="IRBadr" w:hAnsi="IRBadr" w:cs="IRBadr"/>
      <w:b/>
      <w:bCs/>
      <w:color w:val="00B050"/>
      <w:kern w:val="2"/>
      <w:sz w:val="27"/>
      <w:szCs w:val="27"/>
      <w:lang w:bidi="fa-I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17583785">
      <w:bodyDiv w:val="1"/>
      <w:marLeft w:val="0"/>
      <w:marRight w:val="0"/>
      <w:marTop w:val="0"/>
      <w:marBottom w:val="0"/>
      <w:divBdr>
        <w:top w:val="none" w:sz="0" w:space="0" w:color="auto"/>
        <w:left w:val="none" w:sz="0" w:space="0" w:color="auto"/>
        <w:bottom w:val="none" w:sz="0" w:space="0" w:color="auto"/>
        <w:right w:val="none" w:sz="0" w:space="0" w:color="auto"/>
      </w:divBdr>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1149389">
      <w:bodyDiv w:val="1"/>
      <w:marLeft w:val="0"/>
      <w:marRight w:val="0"/>
      <w:marTop w:val="0"/>
      <w:marBottom w:val="0"/>
      <w:divBdr>
        <w:top w:val="none" w:sz="0" w:space="0" w:color="auto"/>
        <w:left w:val="none" w:sz="0" w:space="0" w:color="auto"/>
        <w:bottom w:val="none" w:sz="0" w:space="0" w:color="auto"/>
        <w:right w:val="none" w:sz="0" w:space="0" w:color="auto"/>
      </w:divBdr>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3906503">
      <w:bodyDiv w:val="1"/>
      <w:marLeft w:val="0"/>
      <w:marRight w:val="0"/>
      <w:marTop w:val="0"/>
      <w:marBottom w:val="0"/>
      <w:divBdr>
        <w:top w:val="none" w:sz="0" w:space="0" w:color="auto"/>
        <w:left w:val="none" w:sz="0" w:space="0" w:color="auto"/>
        <w:bottom w:val="none" w:sz="0" w:space="0" w:color="auto"/>
        <w:right w:val="none" w:sz="0" w:space="0" w:color="auto"/>
      </w:divBdr>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1604170">
      <w:bodyDiv w:val="1"/>
      <w:marLeft w:val="0"/>
      <w:marRight w:val="0"/>
      <w:marTop w:val="0"/>
      <w:marBottom w:val="0"/>
      <w:divBdr>
        <w:top w:val="none" w:sz="0" w:space="0" w:color="auto"/>
        <w:left w:val="none" w:sz="0" w:space="0" w:color="auto"/>
        <w:bottom w:val="none" w:sz="0" w:space="0" w:color="auto"/>
        <w:right w:val="none" w:sz="0" w:space="0" w:color="auto"/>
      </w:divBdr>
    </w:div>
    <w:div w:id="151913500">
      <w:bodyDiv w:val="1"/>
      <w:marLeft w:val="0"/>
      <w:marRight w:val="0"/>
      <w:marTop w:val="0"/>
      <w:marBottom w:val="0"/>
      <w:divBdr>
        <w:top w:val="none" w:sz="0" w:space="0" w:color="auto"/>
        <w:left w:val="none" w:sz="0" w:space="0" w:color="auto"/>
        <w:bottom w:val="none" w:sz="0" w:space="0" w:color="auto"/>
        <w:right w:val="none" w:sz="0" w:space="0" w:color="auto"/>
      </w:divBdr>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6309916">
      <w:bodyDiv w:val="1"/>
      <w:marLeft w:val="0"/>
      <w:marRight w:val="0"/>
      <w:marTop w:val="0"/>
      <w:marBottom w:val="0"/>
      <w:divBdr>
        <w:top w:val="none" w:sz="0" w:space="0" w:color="auto"/>
        <w:left w:val="none" w:sz="0" w:space="0" w:color="auto"/>
        <w:bottom w:val="none" w:sz="0" w:space="0" w:color="auto"/>
        <w:right w:val="none" w:sz="0" w:space="0" w:color="auto"/>
      </w:divBdr>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5634280">
      <w:bodyDiv w:val="1"/>
      <w:marLeft w:val="0"/>
      <w:marRight w:val="0"/>
      <w:marTop w:val="0"/>
      <w:marBottom w:val="0"/>
      <w:divBdr>
        <w:top w:val="none" w:sz="0" w:space="0" w:color="auto"/>
        <w:left w:val="none" w:sz="0" w:space="0" w:color="auto"/>
        <w:bottom w:val="none" w:sz="0" w:space="0" w:color="auto"/>
        <w:right w:val="none" w:sz="0" w:space="0" w:color="auto"/>
      </w:divBdr>
    </w:div>
    <w:div w:id="167601235">
      <w:bodyDiv w:val="1"/>
      <w:marLeft w:val="0"/>
      <w:marRight w:val="0"/>
      <w:marTop w:val="0"/>
      <w:marBottom w:val="0"/>
      <w:divBdr>
        <w:top w:val="none" w:sz="0" w:space="0" w:color="auto"/>
        <w:left w:val="none" w:sz="0" w:space="0" w:color="auto"/>
        <w:bottom w:val="none" w:sz="0" w:space="0" w:color="auto"/>
        <w:right w:val="none" w:sz="0" w:space="0" w:color="auto"/>
      </w:divBdr>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4774052">
      <w:bodyDiv w:val="1"/>
      <w:marLeft w:val="0"/>
      <w:marRight w:val="0"/>
      <w:marTop w:val="0"/>
      <w:marBottom w:val="0"/>
      <w:divBdr>
        <w:top w:val="none" w:sz="0" w:space="0" w:color="auto"/>
        <w:left w:val="none" w:sz="0" w:space="0" w:color="auto"/>
        <w:bottom w:val="none" w:sz="0" w:space="0" w:color="auto"/>
        <w:right w:val="none" w:sz="0" w:space="0" w:color="auto"/>
      </w:divBdr>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77447198">
      <w:bodyDiv w:val="1"/>
      <w:marLeft w:val="0"/>
      <w:marRight w:val="0"/>
      <w:marTop w:val="0"/>
      <w:marBottom w:val="0"/>
      <w:divBdr>
        <w:top w:val="none" w:sz="0" w:space="0" w:color="auto"/>
        <w:left w:val="none" w:sz="0" w:space="0" w:color="auto"/>
        <w:bottom w:val="none" w:sz="0" w:space="0" w:color="auto"/>
        <w:right w:val="none" w:sz="0" w:space="0" w:color="auto"/>
      </w:divBdr>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5380901">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8868933">
      <w:bodyDiv w:val="1"/>
      <w:marLeft w:val="0"/>
      <w:marRight w:val="0"/>
      <w:marTop w:val="0"/>
      <w:marBottom w:val="0"/>
      <w:divBdr>
        <w:top w:val="none" w:sz="0" w:space="0" w:color="auto"/>
        <w:left w:val="none" w:sz="0" w:space="0" w:color="auto"/>
        <w:bottom w:val="none" w:sz="0" w:space="0" w:color="auto"/>
        <w:right w:val="none" w:sz="0" w:space="0" w:color="auto"/>
      </w:divBdr>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2822134">
      <w:bodyDiv w:val="1"/>
      <w:marLeft w:val="0"/>
      <w:marRight w:val="0"/>
      <w:marTop w:val="0"/>
      <w:marBottom w:val="0"/>
      <w:divBdr>
        <w:top w:val="none" w:sz="0" w:space="0" w:color="auto"/>
        <w:left w:val="none" w:sz="0" w:space="0" w:color="auto"/>
        <w:bottom w:val="none" w:sz="0" w:space="0" w:color="auto"/>
        <w:right w:val="none" w:sz="0" w:space="0" w:color="auto"/>
      </w:divBdr>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2679287">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6935997">
      <w:bodyDiv w:val="1"/>
      <w:marLeft w:val="0"/>
      <w:marRight w:val="0"/>
      <w:marTop w:val="0"/>
      <w:marBottom w:val="0"/>
      <w:divBdr>
        <w:top w:val="none" w:sz="0" w:space="0" w:color="auto"/>
        <w:left w:val="none" w:sz="0" w:space="0" w:color="auto"/>
        <w:bottom w:val="none" w:sz="0" w:space="0" w:color="auto"/>
        <w:right w:val="none" w:sz="0" w:space="0" w:color="auto"/>
      </w:divBdr>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3099058">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216455">
      <w:bodyDiv w:val="1"/>
      <w:marLeft w:val="0"/>
      <w:marRight w:val="0"/>
      <w:marTop w:val="0"/>
      <w:marBottom w:val="0"/>
      <w:divBdr>
        <w:top w:val="none" w:sz="0" w:space="0" w:color="auto"/>
        <w:left w:val="none" w:sz="0" w:space="0" w:color="auto"/>
        <w:bottom w:val="none" w:sz="0" w:space="0" w:color="auto"/>
        <w:right w:val="none" w:sz="0" w:space="0" w:color="auto"/>
      </w:divBdr>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569734">
      <w:bodyDiv w:val="1"/>
      <w:marLeft w:val="0"/>
      <w:marRight w:val="0"/>
      <w:marTop w:val="0"/>
      <w:marBottom w:val="0"/>
      <w:divBdr>
        <w:top w:val="none" w:sz="0" w:space="0" w:color="auto"/>
        <w:left w:val="none" w:sz="0" w:space="0" w:color="auto"/>
        <w:bottom w:val="none" w:sz="0" w:space="0" w:color="auto"/>
        <w:right w:val="none" w:sz="0" w:space="0" w:color="auto"/>
      </w:divBdr>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78396814">
      <w:bodyDiv w:val="1"/>
      <w:marLeft w:val="0"/>
      <w:marRight w:val="0"/>
      <w:marTop w:val="0"/>
      <w:marBottom w:val="0"/>
      <w:divBdr>
        <w:top w:val="none" w:sz="0" w:space="0" w:color="auto"/>
        <w:left w:val="none" w:sz="0" w:space="0" w:color="auto"/>
        <w:bottom w:val="none" w:sz="0" w:space="0" w:color="auto"/>
        <w:right w:val="none" w:sz="0" w:space="0" w:color="auto"/>
      </w:divBdr>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5087593">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5232748">
      <w:bodyDiv w:val="1"/>
      <w:marLeft w:val="0"/>
      <w:marRight w:val="0"/>
      <w:marTop w:val="0"/>
      <w:marBottom w:val="0"/>
      <w:divBdr>
        <w:top w:val="none" w:sz="0" w:space="0" w:color="auto"/>
        <w:left w:val="none" w:sz="0" w:space="0" w:color="auto"/>
        <w:bottom w:val="none" w:sz="0" w:space="0" w:color="auto"/>
        <w:right w:val="none" w:sz="0" w:space="0" w:color="auto"/>
      </w:divBdr>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6639848">
      <w:bodyDiv w:val="1"/>
      <w:marLeft w:val="0"/>
      <w:marRight w:val="0"/>
      <w:marTop w:val="0"/>
      <w:marBottom w:val="0"/>
      <w:divBdr>
        <w:top w:val="none" w:sz="0" w:space="0" w:color="auto"/>
        <w:left w:val="none" w:sz="0" w:space="0" w:color="auto"/>
        <w:bottom w:val="none" w:sz="0" w:space="0" w:color="auto"/>
        <w:right w:val="none" w:sz="0" w:space="0" w:color="auto"/>
      </w:divBdr>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1908383">
      <w:bodyDiv w:val="1"/>
      <w:marLeft w:val="0"/>
      <w:marRight w:val="0"/>
      <w:marTop w:val="0"/>
      <w:marBottom w:val="0"/>
      <w:divBdr>
        <w:top w:val="none" w:sz="0" w:space="0" w:color="auto"/>
        <w:left w:val="none" w:sz="0" w:space="0" w:color="auto"/>
        <w:bottom w:val="none" w:sz="0" w:space="0" w:color="auto"/>
        <w:right w:val="none" w:sz="0" w:space="0" w:color="auto"/>
      </w:divBdr>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0561292">
      <w:bodyDiv w:val="1"/>
      <w:marLeft w:val="0"/>
      <w:marRight w:val="0"/>
      <w:marTop w:val="0"/>
      <w:marBottom w:val="0"/>
      <w:divBdr>
        <w:top w:val="none" w:sz="0" w:space="0" w:color="auto"/>
        <w:left w:val="none" w:sz="0" w:space="0" w:color="auto"/>
        <w:bottom w:val="none" w:sz="0" w:space="0" w:color="auto"/>
        <w:right w:val="none" w:sz="0" w:space="0" w:color="auto"/>
      </w:divBdr>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38839545">
      <w:bodyDiv w:val="1"/>
      <w:marLeft w:val="0"/>
      <w:marRight w:val="0"/>
      <w:marTop w:val="0"/>
      <w:marBottom w:val="0"/>
      <w:divBdr>
        <w:top w:val="none" w:sz="0" w:space="0" w:color="auto"/>
        <w:left w:val="none" w:sz="0" w:space="0" w:color="auto"/>
        <w:bottom w:val="none" w:sz="0" w:space="0" w:color="auto"/>
        <w:right w:val="none" w:sz="0" w:space="0" w:color="auto"/>
      </w:divBdr>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203084">
      <w:bodyDiv w:val="1"/>
      <w:marLeft w:val="0"/>
      <w:marRight w:val="0"/>
      <w:marTop w:val="0"/>
      <w:marBottom w:val="0"/>
      <w:divBdr>
        <w:top w:val="none" w:sz="0" w:space="0" w:color="auto"/>
        <w:left w:val="none" w:sz="0" w:space="0" w:color="auto"/>
        <w:bottom w:val="none" w:sz="0" w:space="0" w:color="auto"/>
        <w:right w:val="none" w:sz="0" w:space="0" w:color="auto"/>
      </w:divBdr>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02144248">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21730</TotalTime>
  <Pages>1</Pages>
  <Words>848</Words>
  <Characters>4836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650</cp:revision>
  <cp:lastPrinted>2025-04-14T09:12:00Z</cp:lastPrinted>
  <dcterms:created xsi:type="dcterms:W3CDTF">2022-10-16T08:36:00Z</dcterms:created>
  <dcterms:modified xsi:type="dcterms:W3CDTF">2025-11-03T14:23:00Z</dcterms:modified>
</cp:coreProperties>
</file>