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5A5BE" w14:textId="77777777" w:rsidR="00F60C09" w:rsidRDefault="00F60C09" w:rsidP="00F60C09">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9143E79" w14:textId="77777777" w:rsidR="00F60C09" w:rsidRDefault="00F60C09" w:rsidP="00F60C09">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68AD5044" w14:textId="77777777" w:rsidR="00F60C09" w:rsidRDefault="00F60C09" w:rsidP="00F60C09">
      <w:pPr>
        <w:widowControl w:val="0"/>
        <w:bidi/>
        <w:spacing w:after="0"/>
        <w:jc w:val="center"/>
        <w:rPr>
          <w:rFonts w:cs="B Mitra" w:hint="cs"/>
          <w:b/>
          <w:bCs/>
          <w:sz w:val="32"/>
          <w:szCs w:val="32"/>
          <w:rtl/>
          <w:lang w:bidi="fa-IR"/>
        </w:rPr>
      </w:pPr>
      <w:r>
        <w:rPr>
          <w:rFonts w:cs="B Mitra" w:hint="cs"/>
          <w:b/>
          <w:bCs/>
          <w:sz w:val="32"/>
          <w:szCs w:val="32"/>
          <w:rtl/>
          <w:lang w:bidi="fa-IR"/>
        </w:rPr>
        <w:t>جلسه 864</w:t>
      </w:r>
    </w:p>
    <w:p w14:paraId="5BED3644" w14:textId="77777777" w:rsidR="00F60C09" w:rsidRDefault="00F60C09" w:rsidP="00F60C09">
      <w:pPr>
        <w:widowControl w:val="0"/>
        <w:bidi/>
        <w:spacing w:after="0"/>
        <w:ind w:firstLine="284"/>
        <w:jc w:val="both"/>
        <w:rPr>
          <w:rFonts w:cs="Abz-2 (Badr)" w:hint="cs"/>
          <w:sz w:val="28"/>
          <w:szCs w:val="28"/>
          <w:rtl/>
          <w:lang w:bidi="fa-IR"/>
        </w:rPr>
      </w:pPr>
      <w:bookmarkStart w:id="0" w:name="_Hlk159096966"/>
    </w:p>
    <w:bookmarkEnd w:id="0"/>
    <w:p w14:paraId="3647A851"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جلسه قبل گذشت که کاشف اللثام قول به جواز رجوع حامل به کسی که برای نفی ولد از خود، لعان انجام داده و سپس مدعای خود را تکذيب کرده است برای جبران نفقه</w:t>
      </w:r>
      <w:r>
        <w:rPr>
          <w:rFonts w:cs="Abz-2 (Badr)" w:hint="cs"/>
          <w:color w:val="000000" w:themeColor="text1"/>
          <w:sz w:val="28"/>
          <w:szCs w:val="28"/>
          <w:rtl/>
          <w:lang w:bidi="fa-IR"/>
        </w:rPr>
        <w:softHyphen/>
        <w:t>ای که حامل در اين مدت برای حمل مصرف کرده است را به شيخ نسبت داده</w:t>
      </w:r>
      <w:r>
        <w:rPr>
          <w:rFonts w:cs="Abz-2 (Badr)" w:hint="cs"/>
          <w:color w:val="000000" w:themeColor="text1"/>
          <w:sz w:val="28"/>
          <w:szCs w:val="28"/>
          <w:rtl/>
          <w:lang w:bidi="fa-IR"/>
        </w:rPr>
        <w:softHyphen/>
        <w:t>اند.</w:t>
      </w:r>
    </w:p>
    <w:p w14:paraId="76110E8E" w14:textId="77777777" w:rsidR="00F60C09" w:rsidRDefault="00F60C09" w:rsidP="00F60C09">
      <w:pPr>
        <w:widowControl w:val="0"/>
        <w:bidi/>
        <w:spacing w:after="0"/>
        <w:ind w:firstLine="284"/>
        <w:jc w:val="both"/>
        <w:rPr>
          <w:rFonts w:cs="Abz-2 (Badr)"/>
          <w:color w:val="0070C0"/>
          <w:sz w:val="28"/>
          <w:szCs w:val="28"/>
          <w:lang w:bidi="fa-IR"/>
        </w:rPr>
      </w:pPr>
      <w:r>
        <w:rPr>
          <w:rFonts w:cs="Abz-2 (Badr)" w:hint="cs"/>
          <w:color w:val="000000" w:themeColor="text1"/>
          <w:sz w:val="28"/>
          <w:szCs w:val="28"/>
          <w:rtl/>
          <w:lang w:bidi="fa-IR"/>
        </w:rPr>
        <w:t>آنچه که ايشان به مبسوط نسبت داده</w:t>
      </w:r>
      <w:r>
        <w:rPr>
          <w:rFonts w:cs="Abz-2 (Badr)" w:hint="cs"/>
          <w:color w:val="000000" w:themeColor="text1"/>
          <w:sz w:val="28"/>
          <w:szCs w:val="28"/>
          <w:rtl/>
          <w:lang w:bidi="fa-IR"/>
        </w:rPr>
        <w:softHyphen/>
        <w:t xml:space="preserve">اند، در کلام شيخ اين گونه آمده است: </w:t>
      </w:r>
      <w:r>
        <w:rPr>
          <w:rFonts w:cs="Abz-2 (Badr)" w:hint="cs"/>
          <w:color w:val="0070C0"/>
          <w:sz w:val="28"/>
          <w:szCs w:val="28"/>
          <w:rtl/>
          <w:lang w:bidi="fa-IR"/>
        </w:rPr>
        <w:t>«</w:t>
      </w:r>
      <w:r>
        <w:rPr>
          <w:rFonts w:cs="Abz-2 (Badr)" w:hint="cs"/>
          <w:color w:val="0070C0"/>
          <w:sz w:val="28"/>
          <w:szCs w:val="28"/>
          <w:rtl/>
          <w:lang w:bidi="ar"/>
        </w:rPr>
        <w:t>إن أكذب نفسه، لحق النسب به ووجب الحدّ وعادت نفقتها في المستقبل حتّى تضع. ولها أن ترجع بقدر ما انقطعت النفقة عنها، لأنّها إنّما انقطعت لانقطاع النسب، فإن عاد النسب عادت النفقة.</w:t>
      </w:r>
    </w:p>
    <w:p w14:paraId="07684358" w14:textId="77777777" w:rsidR="00F60C09" w:rsidRDefault="00F60C09" w:rsidP="00F60C09">
      <w:pPr>
        <w:widowControl w:val="0"/>
        <w:bidi/>
        <w:spacing w:after="0"/>
        <w:ind w:firstLine="284"/>
        <w:jc w:val="both"/>
        <w:rPr>
          <w:rFonts w:cs="Abz-2 (Badr)"/>
          <w:color w:val="0070C0"/>
          <w:sz w:val="28"/>
          <w:szCs w:val="28"/>
          <w:lang w:bidi="ar"/>
        </w:rPr>
      </w:pPr>
      <w:r>
        <w:rPr>
          <w:rFonts w:cs="Abz-2 (Badr)" w:hint="cs"/>
          <w:color w:val="0070C0"/>
          <w:sz w:val="28"/>
          <w:szCs w:val="28"/>
          <w:rtl/>
          <w:lang w:bidi="ar"/>
        </w:rPr>
        <w:t>هذا إذا قذف زوجته ولاعنها.</w:t>
      </w:r>
    </w:p>
    <w:p w14:paraId="45EC2DDB" w14:textId="77777777" w:rsidR="00F60C09" w:rsidRDefault="00F60C09" w:rsidP="00F60C0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فأمّا إن طلّقها وأبانها ثمّ ظهر بها حمل فقذفها ونفاه، فهل يصحّ اللعان على نفي الحمل بعد البينونة‌؟ قيل: فيه قولان؛ أحدهما: يصحّ، وهو الصحيح عندنا؛ والآخر: لا يصحّ.</w:t>
      </w:r>
    </w:p>
    <w:p w14:paraId="10A80ED1" w14:textId="77777777" w:rsidR="00F60C09" w:rsidRDefault="00F60C09" w:rsidP="00F60C09">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فمن قال يصحّ فنفاه، وقع التحريم المؤبّد وسقطت نفقتها لانتفاء الحمل. فإن أكذب نفسه ههنا عاد النسب وعادت النفقة التي قطعها عن نفسه من حين اللعان إلى حين التكذيب. وهكذا إن وضعته ثمّ أكذب نفسه، فعليه نفقتها زمان العدّة، وأُجرة حضانتها، لأنّه قد بان أنّه كان واجباً عليه. وجملته أنّ كلّ ما سقط باللعان يعود بإكذاب نفسه.»</w:t>
      </w:r>
      <w:r>
        <w:rPr>
          <w:rStyle w:val="FootnoteReference"/>
          <w:rFonts w:cs="Abz-2 (Badr)"/>
          <w:color w:val="000000" w:themeColor="text1"/>
          <w:sz w:val="28"/>
          <w:szCs w:val="28"/>
          <w:rtl/>
          <w:lang w:bidi="ar"/>
        </w:rPr>
        <w:footnoteReference w:id="1"/>
      </w:r>
    </w:p>
    <w:p w14:paraId="1A4D1CC1"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اين مسأله مبتنی بر اين است که در تکذيب نفس بعد از لعان به واسطه نفی ولد، قائل به رجوع نسب شويم و بگوييم که همه احکام نسب در اين فرض جاری است الا اين که پدر و خويشان پدری از فرزند ارث نمی</w:t>
      </w:r>
      <w:r>
        <w:rPr>
          <w:rFonts w:cs="Abz-2 (Badr)" w:hint="cs"/>
          <w:color w:val="000000" w:themeColor="text1"/>
          <w:sz w:val="28"/>
          <w:szCs w:val="28"/>
          <w:rtl/>
          <w:lang w:bidi="fa-IR"/>
        </w:rPr>
        <w:softHyphen/>
        <w:t xml:space="preserve">برند، يا اين </w:t>
      </w:r>
      <w:r>
        <w:rPr>
          <w:rFonts w:cs="Abz-2 (Badr)" w:hint="cs"/>
          <w:color w:val="000000" w:themeColor="text1"/>
          <w:sz w:val="28"/>
          <w:szCs w:val="28"/>
          <w:rtl/>
          <w:lang w:bidi="fa-IR"/>
        </w:rPr>
        <w:lastRenderedPageBreak/>
        <w:t>که بگوييم نسب باز نمی</w:t>
      </w:r>
      <w:r>
        <w:rPr>
          <w:rFonts w:cs="Abz-2 (Badr)" w:hint="cs"/>
          <w:color w:val="000000" w:themeColor="text1"/>
          <w:sz w:val="28"/>
          <w:szCs w:val="28"/>
          <w:rtl/>
          <w:lang w:bidi="fa-IR"/>
        </w:rPr>
        <w:softHyphen/>
        <w:t>گردد و فقط حکم به ارث فرزند از پدر می</w:t>
      </w:r>
      <w:r>
        <w:rPr>
          <w:rFonts w:cs="Abz-2 (Badr)" w:hint="cs"/>
          <w:color w:val="000000" w:themeColor="text1"/>
          <w:sz w:val="28"/>
          <w:szCs w:val="28"/>
          <w:rtl/>
          <w:lang w:bidi="fa-IR"/>
        </w:rPr>
        <w:softHyphen/>
        <w:t>شود؟</w:t>
      </w:r>
    </w:p>
    <w:p w14:paraId="1B54CDC4"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دليل اين که شيخ قائل به وجوب انفاق شده است اين است که اولاً: نفقه را در حال حمل، مختص به حمل می</w:t>
      </w:r>
      <w:r>
        <w:rPr>
          <w:rFonts w:cs="Abz-2 (Badr)" w:hint="cs"/>
          <w:color w:val="000000" w:themeColor="text1"/>
          <w:sz w:val="28"/>
          <w:szCs w:val="28"/>
          <w:rtl/>
          <w:lang w:bidi="fa-IR"/>
        </w:rPr>
        <w:softHyphen/>
        <w:t>داند و ثانياً: در صورتی که پدر بعد از لعان خود را تکذيب نمايد، اين عمل را مستلزم بازگشت نسب می</w:t>
      </w:r>
      <w:r>
        <w:rPr>
          <w:rFonts w:cs="Abz-2 (Badr)" w:hint="cs"/>
          <w:color w:val="000000" w:themeColor="text1"/>
          <w:sz w:val="28"/>
          <w:szCs w:val="28"/>
          <w:rtl/>
          <w:lang w:bidi="fa-IR"/>
        </w:rPr>
        <w:softHyphen/>
        <w:t>داند</w:t>
      </w:r>
      <w:r>
        <w:rPr>
          <w:rStyle w:val="FootnoteReference"/>
          <w:rFonts w:cs="Abz-2 (Badr)"/>
          <w:color w:val="000000" w:themeColor="text1"/>
          <w:sz w:val="28"/>
          <w:szCs w:val="28"/>
          <w:rtl/>
          <w:lang w:bidi="ar"/>
        </w:rPr>
        <w:footnoteReference w:id="2"/>
      </w:r>
      <w:r>
        <w:rPr>
          <w:rFonts w:cs="Abz-2 (Badr)" w:hint="cs"/>
          <w:color w:val="000000" w:themeColor="text1"/>
          <w:sz w:val="28"/>
          <w:szCs w:val="28"/>
          <w:rtl/>
          <w:lang w:bidi="fa-IR"/>
        </w:rPr>
        <w:t>.</w:t>
      </w:r>
    </w:p>
    <w:p w14:paraId="1F668DC7"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اشکالی که کاشف اللثام مطرح کرده است مبنی بر اين که نفقه اقارب قضاء ندارد، اشکال واردی است و نمی</w:t>
      </w:r>
      <w:r>
        <w:rPr>
          <w:rFonts w:cs="Abz-2 (Badr)" w:hint="cs"/>
          <w:color w:val="000000" w:themeColor="text1"/>
          <w:sz w:val="28"/>
          <w:szCs w:val="28"/>
          <w:rtl/>
          <w:lang w:bidi="fa-IR"/>
        </w:rPr>
        <w:softHyphen/>
        <w:t>توان قائل به وجوب دفع نفقه</w:t>
      </w:r>
      <w:r>
        <w:rPr>
          <w:rFonts w:cs="Abz-2 (Badr)" w:hint="cs"/>
          <w:color w:val="000000" w:themeColor="text1"/>
          <w:sz w:val="28"/>
          <w:szCs w:val="28"/>
          <w:rtl/>
          <w:lang w:bidi="fa-IR"/>
        </w:rPr>
        <w:softHyphen/>
        <w:t>ای شد که تا قبل از اين که پدر از ادعای خود بازگردد، به حمل نپرداخته است.</w:t>
      </w:r>
    </w:p>
    <w:p w14:paraId="3C59E043"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مگر اين که در اين مدت به واسطه نفی ولد توسط پدر و وقوع لعان، مادر نفقه حمل را پرداخته باشد که در اين صورت، بر پدر واجب است که آنچه را که مادر پرداخته به وی بپردازد، زيرا آنچه که سبب شده دادن نفقه بر مادر واجب شود، ادعای کذب پدر ادعا بوده است.</w:t>
      </w:r>
    </w:p>
    <w:p w14:paraId="5EFD436E" w14:textId="77777777" w:rsidR="00F60C09" w:rsidRDefault="00F60C09" w:rsidP="00F60C09">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آنچه که در تمامی اين فروض بايد گفت اين است که چون گفتيم که نفقه مطلقه حامل، اختصاص به حامل دارد و آنچه که از آيه و اخبار استفاده می</w:t>
      </w:r>
      <w:r>
        <w:rPr>
          <w:rFonts w:cs="Abz-2 (Badr)" w:hint="cs"/>
          <w:color w:val="000000" w:themeColor="text1"/>
          <w:sz w:val="28"/>
          <w:szCs w:val="28"/>
          <w:rtl/>
          <w:lang w:bidi="fa-IR"/>
        </w:rPr>
        <w:softHyphen/>
        <w:t>شود، چيزی بيش از اين نيست که نفقه مذکور در صورت وقوع طلاق واجب است و در صورت حصول فرقه به طريقی ديگر، دليلی برای وجوب نفقه مذکور وجود ندارد، در هيچ کدام از فروض مذکور دليلی برای وجوب انفاق وجود نخواهد داشت.</w:t>
      </w:r>
    </w:p>
    <w:p w14:paraId="3510ABAD" w14:textId="77777777" w:rsidR="00F60C09" w:rsidRDefault="00F60C09" w:rsidP="00F60C09">
      <w:pPr>
        <w:widowControl w:val="0"/>
        <w:bidi/>
        <w:spacing w:after="0" w:line="244" w:lineRule="auto"/>
        <w:ind w:firstLine="284"/>
        <w:jc w:val="both"/>
        <w:rPr>
          <w:rFonts w:cs="Abz-2 (Badr)" w:hint="cs"/>
          <w:color w:val="0070C0"/>
          <w:sz w:val="28"/>
          <w:szCs w:val="28"/>
          <w:rtl/>
          <w:lang w:bidi="ar"/>
        </w:rPr>
      </w:pPr>
      <w:r>
        <w:rPr>
          <w:rFonts w:cs="Abz-2 (Badr)" w:hint="cs"/>
          <w:color w:val="000000" w:themeColor="text1"/>
          <w:sz w:val="28"/>
          <w:szCs w:val="28"/>
          <w:rtl/>
          <w:lang w:bidi="fa-IR"/>
        </w:rPr>
        <w:t>با توجه به اين مطلب اشکال فرمايش ديگر علامه هم معلوم می</w:t>
      </w:r>
      <w:r>
        <w:rPr>
          <w:rFonts w:cs="Abz-2 (Badr)" w:hint="cs"/>
          <w:color w:val="000000" w:themeColor="text1"/>
          <w:sz w:val="28"/>
          <w:szCs w:val="28"/>
          <w:rtl/>
          <w:lang w:bidi="fa-IR"/>
        </w:rPr>
        <w:softHyphen/>
        <w:t xml:space="preserve">شود که در ضمن آن فرموده است: </w:t>
      </w:r>
      <w:r>
        <w:rPr>
          <w:rFonts w:cs="Abz-2 (Badr)" w:hint="cs"/>
          <w:color w:val="0070C0"/>
          <w:sz w:val="28"/>
          <w:szCs w:val="28"/>
          <w:rtl/>
          <w:lang w:bidi="fa-IR"/>
        </w:rPr>
        <w:t>«</w:t>
      </w:r>
      <w:r>
        <w:rPr>
          <w:rFonts w:cs="Abz-2 (Badr)" w:hint="cs"/>
          <w:color w:val="0070C0"/>
          <w:sz w:val="28"/>
          <w:szCs w:val="28"/>
          <w:rtl/>
          <w:lang w:bidi="ar"/>
        </w:rPr>
        <w:t>المعتدّة عن شبهة... إن كانت خليّة عن النكاح، فلا نفقة لها على الواطئ، إلا مع الحمل، فتثبت لها النفقة إن قلنا: إنّها للحمل.»</w:t>
      </w:r>
      <w:r>
        <w:rPr>
          <w:rStyle w:val="FootnoteReference"/>
          <w:rFonts w:cs="Abz-2 (Badr)"/>
          <w:color w:val="000000" w:themeColor="text1"/>
          <w:sz w:val="28"/>
          <w:szCs w:val="28"/>
          <w:rtl/>
          <w:lang w:bidi="ar"/>
        </w:rPr>
        <w:footnoteReference w:id="3"/>
      </w:r>
    </w:p>
    <w:p w14:paraId="5B96E815" w14:textId="77777777" w:rsidR="00F60C09" w:rsidRDefault="00F60C09" w:rsidP="00F60C09">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کلمات اصحاب چند فرع در خصوص نفقه مطلقه رجعيه آمده است که در ادامه به بررسی آنها خواهيم پرداخت.</w:t>
      </w:r>
    </w:p>
    <w:p w14:paraId="47525E79" w14:textId="77777777" w:rsidR="00F60C09" w:rsidRDefault="00F60C09" w:rsidP="00F60C09">
      <w:pPr>
        <w:widowControl w:val="0"/>
        <w:bidi/>
        <w:spacing w:after="0" w:line="244" w:lineRule="auto"/>
        <w:ind w:firstLine="284"/>
        <w:jc w:val="both"/>
        <w:rPr>
          <w:rFonts w:cs="Abz-2 (Badr)" w:hint="cs"/>
          <w:color w:val="000000" w:themeColor="text1"/>
          <w:sz w:val="28"/>
          <w:szCs w:val="28"/>
          <w:rtl/>
          <w:lang w:bidi="ar"/>
        </w:rPr>
      </w:pPr>
      <w:r>
        <w:rPr>
          <w:rFonts w:cs="Abz-2 (Badr)" w:hint="cs"/>
          <w:color w:val="00B050"/>
          <w:sz w:val="28"/>
          <w:szCs w:val="28"/>
          <w:rtl/>
          <w:lang w:bidi="ar"/>
        </w:rPr>
        <w:t xml:space="preserve">فرع اول: </w:t>
      </w:r>
      <w:r>
        <w:rPr>
          <w:rFonts w:cs="Abz-2 (Badr)" w:hint="cs"/>
          <w:color w:val="000000" w:themeColor="text1"/>
          <w:sz w:val="28"/>
          <w:szCs w:val="28"/>
          <w:rtl/>
          <w:lang w:bidi="ar"/>
        </w:rPr>
        <w:t>آيا آلات تنظيف زوجه که بر زوج دادن هزينه آنها واجب است، در خصوص مطلقه رجعيه نيز پرداختن هزينه آنها بر مطلّق واجب است؟</w:t>
      </w:r>
    </w:p>
    <w:p w14:paraId="3DFF1090" w14:textId="77777777" w:rsidR="00F60C09" w:rsidRDefault="00F60C09" w:rsidP="00F60C09">
      <w:pPr>
        <w:widowControl w:val="0"/>
        <w:bidi/>
        <w:spacing w:after="0" w:line="244" w:lineRule="auto"/>
        <w:ind w:firstLine="284"/>
        <w:jc w:val="both"/>
        <w:rPr>
          <w:rFonts w:cs="Abz-2 (Badr)" w:hint="cs"/>
          <w:color w:val="0070C0"/>
          <w:sz w:val="28"/>
          <w:szCs w:val="28"/>
          <w:rtl/>
          <w:lang w:bidi="ar"/>
        </w:rPr>
      </w:pPr>
      <w:r>
        <w:rPr>
          <w:rFonts w:cs="Abz-2 (Badr)" w:hint="cs"/>
          <w:color w:val="000000" w:themeColor="text1"/>
          <w:sz w:val="28"/>
          <w:szCs w:val="28"/>
          <w:rtl/>
          <w:lang w:bidi="ar"/>
        </w:rPr>
        <w:t>صاحب مسا</w:t>
      </w:r>
      <w:r>
        <w:rPr>
          <w:rFonts w:cs="Abz-2 (Badr)" w:hint="cs"/>
          <w:color w:val="000000" w:themeColor="text1"/>
          <w:sz w:val="28"/>
          <w:szCs w:val="28"/>
          <w:rtl/>
        </w:rPr>
        <w:t xml:space="preserve">لك در اين خصوص فرموده است: </w:t>
      </w:r>
      <w:r>
        <w:rPr>
          <w:rFonts w:cs="Abz-2 (Badr)" w:hint="cs"/>
          <w:color w:val="0070C0"/>
          <w:sz w:val="28"/>
          <w:szCs w:val="28"/>
          <w:rtl/>
          <w:lang w:bidi="fa-IR"/>
        </w:rPr>
        <w:t>«</w:t>
      </w:r>
      <w:r>
        <w:rPr>
          <w:rFonts w:cs="Abz-2 (Badr)" w:hint="cs"/>
          <w:color w:val="0070C0"/>
          <w:sz w:val="28"/>
          <w:szCs w:val="28"/>
          <w:rtl/>
          <w:lang w:bidi="ar"/>
        </w:rPr>
        <w:t xml:space="preserve">استثنى بعضهم من مؤونتها آلة التنظيف، لأنّ الزوج ممتنع عنها؛ وهو </w:t>
      </w:r>
      <w:r>
        <w:rPr>
          <w:rFonts w:cs="Abz-2 (Badr)" w:hint="cs"/>
          <w:color w:val="0070C0"/>
          <w:sz w:val="28"/>
          <w:szCs w:val="28"/>
          <w:rtl/>
          <w:lang w:bidi="ar"/>
        </w:rPr>
        <w:lastRenderedPageBreak/>
        <w:t>حسن.»</w:t>
      </w:r>
      <w:r>
        <w:rPr>
          <w:rStyle w:val="FootnoteReference"/>
          <w:rFonts w:cs="Abz-2 (Badr)"/>
          <w:color w:val="000000" w:themeColor="text1"/>
          <w:sz w:val="28"/>
          <w:szCs w:val="28"/>
          <w:rtl/>
          <w:lang w:bidi="ar"/>
        </w:rPr>
        <w:footnoteReference w:id="4"/>
      </w:r>
    </w:p>
    <w:p w14:paraId="7D2B3E86" w14:textId="77777777" w:rsidR="00F60C09" w:rsidRDefault="00F60C09" w:rsidP="00F60C09">
      <w:pPr>
        <w:widowControl w:val="0"/>
        <w:bidi/>
        <w:spacing w:after="0" w:line="244" w:lineRule="auto"/>
        <w:ind w:firstLine="284"/>
        <w:jc w:val="both"/>
        <w:rPr>
          <w:rFonts w:cs="Abz-2 (Badr)" w:hint="cs"/>
          <w:color w:val="000000" w:themeColor="text1"/>
          <w:sz w:val="28"/>
          <w:szCs w:val="28"/>
          <w:rtl/>
        </w:rPr>
      </w:pPr>
      <w:r>
        <w:rPr>
          <w:rFonts w:cs="Abz-2 (Badr)" w:hint="cs"/>
          <w:color w:val="000000" w:themeColor="text1"/>
          <w:sz w:val="28"/>
          <w:szCs w:val="28"/>
          <w:rtl/>
        </w:rPr>
        <w:t>مراد ايشان از «بعض» نيز برخی از فقهاء عامه هستند.</w:t>
      </w:r>
    </w:p>
    <w:p w14:paraId="7F0A8F31" w14:textId="77777777" w:rsidR="00F60C09" w:rsidRDefault="00F60C09" w:rsidP="00F60C09">
      <w:pPr>
        <w:widowControl w:val="0"/>
        <w:bidi/>
        <w:spacing w:after="0" w:line="244" w:lineRule="auto"/>
        <w:ind w:firstLine="284"/>
        <w:jc w:val="both"/>
        <w:rPr>
          <w:rFonts w:cs="Abz-2 (Badr)" w:hint="cs"/>
          <w:color w:val="0070C0"/>
          <w:sz w:val="28"/>
          <w:szCs w:val="28"/>
          <w:rtl/>
        </w:rPr>
      </w:pPr>
      <w:r>
        <w:rPr>
          <w:rFonts w:cs="Abz-2 (Badr)" w:hint="cs"/>
          <w:color w:val="000000" w:themeColor="text1"/>
          <w:sz w:val="28"/>
          <w:szCs w:val="28"/>
          <w:rtl/>
        </w:rPr>
        <w:t>نووی شافعی در روضة الطالبين می</w:t>
      </w:r>
      <w:r>
        <w:rPr>
          <w:rFonts w:cs="Abz-2 (Badr)" w:hint="cs"/>
          <w:color w:val="000000" w:themeColor="text1"/>
          <w:sz w:val="28"/>
          <w:szCs w:val="28"/>
          <w:rtl/>
        </w:rPr>
        <w:softHyphen/>
        <w:t>گويد:</w:t>
      </w:r>
      <w:r>
        <w:rPr>
          <w:rFonts w:cs="Abz-2 (Badr)" w:hint="cs"/>
          <w:color w:val="0070C0"/>
          <w:sz w:val="28"/>
          <w:szCs w:val="28"/>
          <w:rtl/>
          <w:lang w:bidi="ar"/>
        </w:rPr>
        <w:t xml:space="preserve"> «</w:t>
      </w:r>
      <w:r>
        <w:rPr>
          <w:rFonts w:cs="Abz-2 (Badr)" w:hint="cs"/>
          <w:color w:val="0070C0"/>
          <w:sz w:val="28"/>
          <w:szCs w:val="28"/>
          <w:rtl/>
        </w:rPr>
        <w:t>المعتدّة الرجعيّة تستحقّ النفقة والكسوة وسائر المؤن إلا آلة التنظّف.»</w:t>
      </w:r>
      <w:r>
        <w:rPr>
          <w:rStyle w:val="FootnoteReference"/>
          <w:rFonts w:cs="Abz-2 (Badr)"/>
          <w:color w:val="000000" w:themeColor="text1"/>
          <w:sz w:val="28"/>
          <w:szCs w:val="28"/>
          <w:rtl/>
          <w:lang w:bidi="ar"/>
        </w:rPr>
        <w:footnoteReference w:id="5"/>
      </w:r>
    </w:p>
    <w:p w14:paraId="53243606" w14:textId="77777777" w:rsidR="00F60C09" w:rsidRDefault="00F60C09" w:rsidP="00F60C09">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ar"/>
        </w:rPr>
        <w:t xml:space="preserve">فيض کاشانی نيز فرموده است: </w:t>
      </w:r>
      <w:r>
        <w:rPr>
          <w:rFonts w:cs="Abz-2 (Badr)" w:hint="cs"/>
          <w:color w:val="0070C0"/>
          <w:sz w:val="28"/>
          <w:szCs w:val="28"/>
          <w:rtl/>
          <w:lang w:bidi="ar"/>
        </w:rPr>
        <w:t>«وتثبت للمطلّقة الرجعيّة، للنصوص ولبقاء حبس الزوج وسلطنته، إلا مؤونة التنظيف على رأي حسن، لامتناع الزوج عنها.»</w:t>
      </w:r>
      <w:r>
        <w:rPr>
          <w:rStyle w:val="FootnoteReference"/>
          <w:rFonts w:cs="Abz-2 (Badr)"/>
          <w:color w:val="000000" w:themeColor="text1"/>
          <w:sz w:val="28"/>
          <w:szCs w:val="28"/>
          <w:rtl/>
          <w:lang w:bidi="ar"/>
        </w:rPr>
        <w:footnoteReference w:id="6"/>
      </w:r>
    </w:p>
    <w:p w14:paraId="2F395B53" w14:textId="77777777" w:rsidR="00F60C09" w:rsidRDefault="00F60C09" w:rsidP="00F60C09">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ar"/>
        </w:rPr>
        <w:t>اما صاحب مدارك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«استثنى بعضهم من النفقة آلة التنظيف، لأنّ الزوج لا ينتفع بذلك، والإطلاق أجود، فلعلّ‌ الله يحدث بعد ذلك أمراً.»</w:t>
      </w:r>
      <w:r>
        <w:rPr>
          <w:rStyle w:val="FootnoteReference"/>
          <w:rFonts w:cs="Abz-2 (Badr)"/>
          <w:color w:val="000000" w:themeColor="text1"/>
          <w:sz w:val="28"/>
          <w:szCs w:val="28"/>
          <w:rtl/>
          <w:lang w:bidi="ar"/>
        </w:rPr>
        <w:footnoteReference w:id="7"/>
      </w:r>
    </w:p>
    <w:p w14:paraId="46713C25" w14:textId="77777777" w:rsidR="00F60C09" w:rsidRDefault="00F60C09" w:rsidP="00F60C09">
      <w:pPr>
        <w:widowControl w:val="0"/>
        <w:bidi/>
        <w:spacing w:after="0" w:line="244" w:lineRule="auto"/>
        <w:ind w:firstLine="284"/>
        <w:jc w:val="both"/>
        <w:rPr>
          <w:rFonts w:cs="Abz-2 (Badr)" w:hint="cs"/>
          <w:color w:val="0070C0"/>
          <w:sz w:val="28"/>
          <w:szCs w:val="28"/>
          <w:rtl/>
          <w:lang w:bidi="ar"/>
        </w:rPr>
      </w:pPr>
      <w:r>
        <w:rPr>
          <w:rFonts w:cs="Abz-2 (Badr)" w:hint="cs"/>
          <w:color w:val="000000" w:themeColor="text1"/>
          <w:sz w:val="28"/>
          <w:szCs w:val="28"/>
          <w:rtl/>
          <w:lang w:bidi="ar"/>
        </w:rPr>
        <w:t xml:space="preserve">صاحب رياض نيز فرموده است: </w:t>
      </w:r>
      <w:r>
        <w:rPr>
          <w:rFonts w:cs="Abz-2 (Badr)" w:hint="cs"/>
          <w:color w:val="0070C0"/>
          <w:sz w:val="28"/>
          <w:szCs w:val="28"/>
          <w:rtl/>
          <w:lang w:bidi="ar"/>
        </w:rPr>
        <w:t xml:space="preserve">«ربما استثني آلة التنظيف، لأنّها لفائدة الاستمتاع وقد انتفت بالطلاق. </w:t>
      </w:r>
    </w:p>
    <w:p w14:paraId="011D2BBD" w14:textId="77777777" w:rsidR="00F60C09" w:rsidRDefault="00F60C09" w:rsidP="00F60C09">
      <w:pPr>
        <w:widowControl w:val="0"/>
        <w:bidi/>
        <w:spacing w:after="0"/>
        <w:ind w:firstLine="284"/>
        <w:jc w:val="both"/>
        <w:rPr>
          <w:rFonts w:cs="Abz-2 (Badr)"/>
          <w:color w:val="0070C0"/>
          <w:sz w:val="28"/>
          <w:szCs w:val="28"/>
          <w:lang w:bidi="fa-IR"/>
        </w:rPr>
      </w:pPr>
      <w:r>
        <w:rPr>
          <w:rFonts w:cs="Abz-2 (Badr)" w:hint="cs"/>
          <w:color w:val="0070C0"/>
          <w:sz w:val="28"/>
          <w:szCs w:val="28"/>
          <w:rtl/>
          <w:lang w:bidi="ar"/>
        </w:rPr>
        <w:t xml:space="preserve">ويدفعه بعد الإطلاقات ظاهر: </w:t>
      </w:r>
      <w:r>
        <w:rPr>
          <w:rFonts w:cs="QuranTaha" w:hint="cs"/>
          <w:color w:val="BF8F00" w:themeColor="accent4" w:themeShade="BF"/>
          <w:sz w:val="26"/>
          <w:szCs w:val="26"/>
          <w:rtl/>
          <w:lang w:bidi="ar"/>
        </w:rPr>
        <w:t>«لَعَلَّ‌ اللّٰهَ‌ يُحْدِثُ‌ بَعْدَ ذٰلِكَ‌ أَمْراً»</w:t>
      </w:r>
      <w:r>
        <w:rPr>
          <w:rStyle w:val="FootnoteReference"/>
          <w:rFonts w:cs="Abz-2 (Badr)"/>
          <w:color w:val="000000" w:themeColor="text1"/>
          <w:sz w:val="28"/>
          <w:szCs w:val="28"/>
          <w:rtl/>
          <w:lang w:bidi="ar"/>
        </w:rPr>
        <w:footnoteReference w:id="8"/>
      </w:r>
      <w:r>
        <w:rPr>
          <w:rFonts w:cs="Abz-2 (Badr)" w:hint="cs"/>
          <w:color w:val="0070C0"/>
          <w:sz w:val="28"/>
          <w:szCs w:val="28"/>
          <w:rtl/>
          <w:lang w:bidi="ar"/>
        </w:rPr>
        <w:t xml:space="preserve"> المفسّر في المعتبرة بتزيّن الزوجة رجاء الرجعة.»</w:t>
      </w:r>
      <w:r>
        <w:rPr>
          <w:rStyle w:val="FootnoteReference"/>
          <w:rFonts w:cs="Abz-2 (Badr)"/>
          <w:color w:val="000000" w:themeColor="text1"/>
          <w:sz w:val="28"/>
          <w:szCs w:val="28"/>
          <w:rtl/>
          <w:lang w:bidi="ar"/>
        </w:rPr>
        <w:footnoteReference w:id="9"/>
      </w:r>
    </w:p>
    <w:p w14:paraId="5723B266"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البته صاحب رياض ـ به تبع صاحب حدائق ـ در ادامه کلام خود در استدلال بر مدعای خود، به برخی از اخبار نيز استناد کرده است:</w:t>
      </w:r>
    </w:p>
    <w:p w14:paraId="0F7FCA80"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ar"/>
        </w:rPr>
        <w:t xml:space="preserve">منها: موثّقة أبي بصير عن أحدهما(ع): </w:t>
      </w:r>
      <w:r>
        <w:rPr>
          <w:rFonts w:ascii="IRBadr" w:hAnsi="IRBadr" w:cs="Abz-2 (Badr)" w:hint="cs"/>
          <w:color w:val="70AD47" w:themeColor="accent6"/>
          <w:kern w:val="2"/>
          <w:sz w:val="28"/>
          <w:szCs w:val="28"/>
          <w:rtl/>
          <w:lang w:bidi="fa-IR"/>
          <w14:ligatures w14:val="standardContextual"/>
        </w:rPr>
        <w:t>«في المطلّقة تعتدّ في بيتها وتُظهر له زينتها؛</w:t>
      </w:r>
      <w:r>
        <w:rPr>
          <w:rFonts w:cs="Abz-2 (Badr)" w:hint="cs"/>
          <w:color w:val="00B0F0"/>
          <w:sz w:val="28"/>
          <w:szCs w:val="28"/>
          <w:rtl/>
          <w:lang w:bidi="ar"/>
        </w:rPr>
        <w:t xml:space="preserve"> </w:t>
      </w:r>
      <w:r>
        <w:rPr>
          <w:rFonts w:cs="QuranTaha" w:hint="cs"/>
          <w:color w:val="BF8F00" w:themeColor="accent4" w:themeShade="BF"/>
          <w:sz w:val="26"/>
          <w:szCs w:val="26"/>
          <w:rtl/>
          <w:lang w:bidi="ar"/>
        </w:rPr>
        <w:t>«لَعَلَّ‌ اللّٰهَ‌ يُحْدِثُ‌ بَعْدَ ذٰلِكَ‌ أَمْراً»</w:t>
      </w:r>
      <w:r>
        <w:rPr>
          <w:rFonts w:ascii="IRBadr" w:hAnsi="IRBadr" w:cs="Abz-2 (Badr)" w:hint="cs"/>
          <w:color w:val="70AD47" w:themeColor="accent6"/>
          <w:kern w:val="2"/>
          <w:sz w:val="28"/>
          <w:szCs w:val="28"/>
          <w:rtl/>
          <w:lang w:bidi="fa-IR"/>
          <w14:ligatures w14:val="standardContextual"/>
        </w:rPr>
        <w:t>.»</w:t>
      </w:r>
      <w:r>
        <w:rPr>
          <w:rStyle w:val="FootnoteReference"/>
          <w:rFonts w:cs="Abz-2 (Badr)"/>
          <w:color w:val="000000" w:themeColor="text1"/>
          <w:sz w:val="28"/>
          <w:szCs w:val="28"/>
          <w:rtl/>
          <w:lang w:bidi="ar"/>
        </w:rPr>
        <w:footnoteReference w:id="10"/>
      </w:r>
    </w:p>
    <w:p w14:paraId="34884E77" w14:textId="77777777" w:rsidR="00F60C09" w:rsidRDefault="00F60C09" w:rsidP="00F60C09">
      <w:pPr>
        <w:widowControl w:val="0"/>
        <w:bidi/>
        <w:spacing w:after="0"/>
        <w:ind w:firstLine="284"/>
        <w:jc w:val="both"/>
        <w:rPr>
          <w:rFonts w:cs="Abz-2 (Badr)" w:hint="cs"/>
          <w:color w:val="00B0F0"/>
          <w:sz w:val="28"/>
          <w:szCs w:val="28"/>
          <w:rtl/>
          <w:lang w:bidi="fa-IR"/>
        </w:rPr>
      </w:pPr>
      <w:r>
        <w:rPr>
          <w:rFonts w:cs="Abz-2 (Badr)" w:hint="cs"/>
          <w:color w:val="000000" w:themeColor="text1"/>
          <w:sz w:val="28"/>
          <w:szCs w:val="28"/>
          <w:rtl/>
          <w:lang w:bidi="ar"/>
        </w:rPr>
        <w:t xml:space="preserve">ومنها: معتبرة محمّد بن قيس عن أبي جعفر(ع)، قال: </w:t>
      </w:r>
      <w:r>
        <w:rPr>
          <w:rFonts w:ascii="IRBadr" w:hAnsi="IRBadr" w:cs="Abz-2 (Badr)" w:hint="cs"/>
          <w:color w:val="70AD47" w:themeColor="accent6"/>
          <w:kern w:val="2"/>
          <w:sz w:val="28"/>
          <w:szCs w:val="28"/>
          <w:rtl/>
          <w:lang w:bidi="fa-IR"/>
          <w14:ligatures w14:val="standardContextual"/>
        </w:rPr>
        <w:t>«المطلّقة تشوّفت لزوجها ما كان له عليها رجعة، ولا يستأذن عليها.»</w:t>
      </w:r>
      <w:r>
        <w:rPr>
          <w:rStyle w:val="FootnoteReference"/>
          <w:rFonts w:cs="Abz-2 (Badr)"/>
          <w:color w:val="000000" w:themeColor="text1"/>
          <w:sz w:val="28"/>
          <w:szCs w:val="28"/>
          <w:rtl/>
          <w:lang w:bidi="ar"/>
        </w:rPr>
        <w:footnoteReference w:id="11"/>
      </w:r>
    </w:p>
    <w:p w14:paraId="6C370D62" w14:textId="77777777" w:rsidR="00F60C09" w:rsidRDefault="00F60C09" w:rsidP="00F60C09">
      <w:pPr>
        <w:widowControl w:val="0"/>
        <w:bidi/>
        <w:spacing w:after="0"/>
        <w:ind w:firstLine="284"/>
        <w:jc w:val="both"/>
        <w:rPr>
          <w:rFonts w:cs="Abz-2 (Badr)" w:hint="cs"/>
          <w:color w:val="00B0F0"/>
          <w:sz w:val="28"/>
          <w:szCs w:val="28"/>
          <w:rtl/>
          <w:lang w:bidi="fa-IR"/>
        </w:rPr>
      </w:pPr>
      <w:r>
        <w:rPr>
          <w:rFonts w:cs="Abz-2 (Badr)" w:hint="cs"/>
          <w:color w:val="000000" w:themeColor="text1"/>
          <w:sz w:val="28"/>
          <w:szCs w:val="28"/>
          <w:rtl/>
          <w:lang w:bidi="ar"/>
        </w:rPr>
        <w:lastRenderedPageBreak/>
        <w:t xml:space="preserve">ومنها: خبر زرارة عن أبي عبدالله(ع)، قال: </w:t>
      </w:r>
      <w:r>
        <w:rPr>
          <w:rFonts w:ascii="IRBadr" w:hAnsi="IRBadr" w:cs="Abz-2 (Badr)" w:hint="cs"/>
          <w:color w:val="70AD47" w:themeColor="accent6"/>
          <w:kern w:val="2"/>
          <w:sz w:val="28"/>
          <w:szCs w:val="28"/>
          <w:rtl/>
          <w:lang w:bidi="fa-IR"/>
          <w14:ligatures w14:val="standardContextual"/>
        </w:rPr>
        <w:t xml:space="preserve">«المطلّقة تكتحل وتختضب وتطيّب وتلبس ما شاءت من الثياب، لأنّ الله عزّ وجلّ يقول: </w:t>
      </w:r>
      <w:r>
        <w:rPr>
          <w:rFonts w:cs="QuranTaha" w:hint="cs"/>
          <w:color w:val="BF8F00" w:themeColor="accent4" w:themeShade="BF"/>
          <w:sz w:val="26"/>
          <w:szCs w:val="26"/>
          <w:rtl/>
          <w:lang w:bidi="ar"/>
        </w:rPr>
        <w:t>«لَعَلَّ‌ اللّٰهَ‌ يُحْدِثُ‌ بَعْدَ ذٰلِكَ‌ أَمْراً»</w:t>
      </w:r>
      <w:r>
        <w:rPr>
          <w:rFonts w:ascii="IRBadr" w:hAnsi="IRBadr" w:cs="Abz-2 (Badr)" w:hint="cs"/>
          <w:color w:val="70AD47" w:themeColor="accent6"/>
          <w:kern w:val="2"/>
          <w:sz w:val="28"/>
          <w:szCs w:val="28"/>
          <w:rtl/>
          <w:lang w:bidi="fa-IR"/>
          <w14:ligatures w14:val="standardContextual"/>
        </w:rPr>
        <w:t>، لعلّها أن تقع في نفسه فيراجعها.»</w:t>
      </w:r>
      <w:r>
        <w:rPr>
          <w:rStyle w:val="FootnoteReference"/>
          <w:rFonts w:cs="Abz-2 (Badr)"/>
          <w:color w:val="000000" w:themeColor="text1"/>
          <w:sz w:val="28"/>
          <w:szCs w:val="28"/>
          <w:rtl/>
          <w:lang w:bidi="ar"/>
        </w:rPr>
        <w:footnoteReference w:id="12"/>
      </w:r>
    </w:p>
    <w:p w14:paraId="170966DC" w14:textId="77777777" w:rsidR="00F60C09" w:rsidRDefault="00F60C09" w:rsidP="00F60C09">
      <w:pPr>
        <w:widowControl w:val="0"/>
        <w:bidi/>
        <w:spacing w:after="0"/>
        <w:ind w:firstLine="284"/>
        <w:jc w:val="both"/>
        <w:rPr>
          <w:rFonts w:cs="Abz-2 (Badr)" w:hint="cs"/>
          <w:color w:val="00B0F0"/>
          <w:sz w:val="28"/>
          <w:szCs w:val="28"/>
          <w:rtl/>
          <w:lang w:bidi="fa-IR"/>
        </w:rPr>
      </w:pPr>
      <w:r>
        <w:rPr>
          <w:rFonts w:cs="Abz-2 (Badr)" w:hint="cs"/>
          <w:color w:val="000000" w:themeColor="text1"/>
          <w:sz w:val="28"/>
          <w:szCs w:val="28"/>
          <w:rtl/>
          <w:lang w:bidi="ar"/>
        </w:rPr>
        <w:t xml:space="preserve">ومنها: خبر عليّ بن جعفر عن أخيه موسی بن جعفر(ع)، قال: </w:t>
      </w:r>
      <w:r>
        <w:rPr>
          <w:rFonts w:ascii="IRBadr" w:hAnsi="IRBadr" w:cs="Abz-2 (Badr)" w:hint="cs"/>
          <w:color w:val="70AD47" w:themeColor="accent6"/>
          <w:kern w:val="2"/>
          <w:sz w:val="28"/>
          <w:szCs w:val="28"/>
          <w:rtl/>
          <w:lang w:bidi="fa-IR"/>
          <w14:ligatures w14:val="standardContextual"/>
        </w:rPr>
        <w:t>«سألته عن المطلّقة، لها أن تكتحل وتختضب أو تلبس ثوباً مصبوغاً؟ قال: لا بأس إذا فعلته من غير سوء.»</w:t>
      </w:r>
      <w:r>
        <w:rPr>
          <w:rStyle w:val="FootnoteReference"/>
          <w:rFonts w:cs="Abz-2 (Badr)"/>
          <w:color w:val="000000" w:themeColor="text1"/>
          <w:sz w:val="28"/>
          <w:szCs w:val="28"/>
          <w:rtl/>
          <w:lang w:bidi="ar"/>
        </w:rPr>
        <w:footnoteReference w:id="13"/>
      </w:r>
    </w:p>
    <w:p w14:paraId="5EBBBBF2"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در نهايت در تمسّک به آنها برای اثبات مدعای خود تأمّل کرده است.</w:t>
      </w:r>
    </w:p>
    <w:p w14:paraId="63260B54" w14:textId="77777777" w:rsidR="00F60C09" w:rsidRDefault="00F60C09" w:rsidP="00F60C09">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ar"/>
        </w:rPr>
        <w:t>صاحب جواهر در توضيح اشکال تمسّک به اين اخبار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«إنّ ذلك كلّه لا يدلّ على كون آلة الزينة منه، ولعلّ الأولى الاستدلال عليها بالإطلاق السابق.»</w:t>
      </w:r>
      <w:r>
        <w:rPr>
          <w:rStyle w:val="FootnoteReference"/>
          <w:rFonts w:cs="Abz-2 (Badr)"/>
          <w:color w:val="000000" w:themeColor="text1"/>
          <w:sz w:val="28"/>
          <w:szCs w:val="28"/>
          <w:rtl/>
          <w:lang w:bidi="ar"/>
        </w:rPr>
        <w:footnoteReference w:id="14"/>
      </w:r>
    </w:p>
    <w:p w14:paraId="458D7C3E"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حق نيز در اين اشکال با صاحب جواهر است، زيرا جواز زينت برای مطلقه رجعيه و بلکه وجوب آن بر وی، ملازمه</w:t>
      </w:r>
      <w:r>
        <w:rPr>
          <w:rFonts w:cs="Abz-2 (Badr)" w:hint="cs"/>
          <w:color w:val="000000" w:themeColor="text1"/>
          <w:sz w:val="28"/>
          <w:szCs w:val="28"/>
          <w:rtl/>
          <w:lang w:bidi="ar"/>
        </w:rPr>
        <w:softHyphen/>
        <w:t>ای با اين که پرداخت هزينه آن بر عهده مطلق باشد، ندارد.</w:t>
      </w:r>
    </w:p>
    <w:p w14:paraId="5FE4317C"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بيان آنچه که در اين مسأله می</w:t>
      </w:r>
      <w:r>
        <w:rPr>
          <w:rFonts w:cs="Abz-2 (Badr)" w:hint="cs"/>
          <w:color w:val="000000" w:themeColor="text1"/>
          <w:sz w:val="28"/>
          <w:szCs w:val="28"/>
          <w:rtl/>
          <w:lang w:bidi="ar"/>
        </w:rPr>
        <w:softHyphen/>
        <w:t>توان به آن ملتزم شد را به جلسه آينده واگذار می</w:t>
      </w:r>
      <w:r>
        <w:rPr>
          <w:rFonts w:cs="Abz-2 (Badr)" w:hint="cs"/>
          <w:color w:val="000000" w:themeColor="text1"/>
          <w:sz w:val="28"/>
          <w:szCs w:val="28"/>
          <w:rtl/>
          <w:lang w:bidi="ar"/>
        </w:rPr>
        <w:softHyphen/>
        <w:t>کنيم.</w:t>
      </w:r>
    </w:p>
    <w:p w14:paraId="504B4F84" w14:textId="77777777" w:rsidR="00F60C09" w:rsidRDefault="00F60C09" w:rsidP="00F60C09">
      <w:pPr>
        <w:rPr>
          <w:rFonts w:cs="Abz-2 (Badr)" w:hint="cs"/>
          <w:color w:val="0070C0"/>
          <w:sz w:val="28"/>
          <w:szCs w:val="28"/>
          <w:rtl/>
          <w:lang w:bidi="ar"/>
        </w:rPr>
      </w:pPr>
      <w:r>
        <w:rPr>
          <w:rFonts w:cs="Abz-2 (Badr)" w:hint="cs"/>
          <w:color w:val="0070C0"/>
          <w:sz w:val="28"/>
          <w:szCs w:val="28"/>
          <w:rtl/>
          <w:lang w:bidi="ar"/>
        </w:rPr>
        <w:br w:type="page"/>
      </w:r>
    </w:p>
    <w:p w14:paraId="74366340"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تقدّم في الجلسة السابقة أنّ كاشف اللثام نسب إلى الشيخ القول بجواز رجوع الحامل على من لاعنها لنفي الولد عن نفسه ثمّ كذّب دعواه بعد ذلك للمطالبة بالنفقة التي أنفقتها على الحمل خلال تلك المدّة.</w:t>
      </w:r>
    </w:p>
    <w:p w14:paraId="658A8875" w14:textId="77777777" w:rsidR="00F60C09" w:rsidRDefault="00F60C09" w:rsidP="00F60C09">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وقد ورد ما نسبه إليه في المبسوط بلفظه، قال</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إن أكذب نفسه، لحق النسب به ووجب الحدّ وعادت نفقتها في المستقبل حتّى تضع. ولها أن ترجع بقدر ما انقطعت النفقة عنها، لأنّها إنّما انقطعت لانقطاع النسب، فإن عاد النسب عادت النفقة.</w:t>
      </w:r>
    </w:p>
    <w:p w14:paraId="0EA1D43D" w14:textId="77777777" w:rsidR="00F60C09" w:rsidRDefault="00F60C09" w:rsidP="00F60C09">
      <w:pPr>
        <w:widowControl w:val="0"/>
        <w:bidi/>
        <w:spacing w:after="0"/>
        <w:ind w:firstLine="284"/>
        <w:jc w:val="both"/>
        <w:rPr>
          <w:rFonts w:cs="Abz-2 (Badr)"/>
          <w:color w:val="0070C0"/>
          <w:sz w:val="28"/>
          <w:szCs w:val="28"/>
          <w:lang w:bidi="ar"/>
        </w:rPr>
      </w:pPr>
      <w:r>
        <w:rPr>
          <w:rFonts w:cs="Abz-2 (Badr)" w:hint="cs"/>
          <w:color w:val="0070C0"/>
          <w:sz w:val="28"/>
          <w:szCs w:val="28"/>
          <w:rtl/>
          <w:lang w:bidi="ar"/>
        </w:rPr>
        <w:t>هذا إذا قذف زوجته ولاعنها.</w:t>
      </w:r>
    </w:p>
    <w:p w14:paraId="7157D291" w14:textId="77777777" w:rsidR="00F60C09" w:rsidRDefault="00F60C09" w:rsidP="00F60C0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فأمّا إن طلّقها وأبانها ثمّ ظهر بها حمل فقذفها ونفاه، فهل يصحّ اللعان على نفي الحمل بعد البينونة‌؟ قيل: فيه قولان؛ أحدهما: يصحّ، وهو الصحيح عندنا؛ والآخر: لا يصحّ.</w:t>
      </w:r>
    </w:p>
    <w:p w14:paraId="5135FD89" w14:textId="77777777" w:rsidR="00F60C09" w:rsidRDefault="00F60C09" w:rsidP="00F60C09">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فمن قال يصحّ فنفاه، وقع التحريم المؤبّد وسقطت نفقتها لانتفاء الحمل. فإن أكذب نفسه ههنا عاد النسب وعادت النفقة التي قطعها عن نفسه من حين اللعان إلى حين التكذيب. وهكذا إن وضعته ثمّ أكذب نفسه، فعليه نفقتها زمان العدّة، وأُجرة حضانتها، لأنّه قد بان أنّه كان واجباً عليه. وجملته أنّ كلّ ما سقط باللعان يعود بإكذاب نفسه.»</w:t>
      </w:r>
      <w:r>
        <w:rPr>
          <w:rStyle w:val="FootnoteReference"/>
          <w:rFonts w:cs="Abz-2 (Badr)"/>
          <w:color w:val="000000" w:themeColor="text1"/>
          <w:sz w:val="28"/>
          <w:szCs w:val="28"/>
          <w:rtl/>
          <w:lang w:bidi="ar"/>
        </w:rPr>
        <w:footnoteReference w:id="15"/>
      </w:r>
    </w:p>
    <w:p w14:paraId="1F4C4A29"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b/>
          <w:bCs/>
          <w:color w:val="000000" w:themeColor="text1"/>
          <w:sz w:val="28"/>
          <w:szCs w:val="28"/>
          <w:rtl/>
          <w:lang w:bidi="fa-IR"/>
        </w:rPr>
        <w:t>أقول:</w:t>
      </w:r>
      <w:r>
        <w:rPr>
          <w:rFonts w:cs="Abz-2 (Badr)" w:hint="cs"/>
          <w:color w:val="000000" w:themeColor="text1"/>
          <w:sz w:val="28"/>
          <w:szCs w:val="28"/>
          <w:rtl/>
          <w:lang w:bidi="fa-IR"/>
        </w:rPr>
        <w:t xml:space="preserve"> إ</w:t>
      </w:r>
      <w:r>
        <w:rPr>
          <w:rFonts w:cs="Abz-2 (Badr)" w:hint="cs"/>
          <w:color w:val="000000" w:themeColor="text1"/>
          <w:sz w:val="28"/>
          <w:szCs w:val="28"/>
          <w:rtl/>
        </w:rPr>
        <w:t>نّ هذه المسألة مبنيّة على أنّه هل يحكم بعود النسب بعد تكذيب النفس في اللعان الواقع لنفي الولد، فتجري جميع أحكام النسب في هذا الفرض إلا الإرث من جانب الأب وأقاربه، أم يقال بعدم عود النسب وإنّما يحكم بثبوت إرث الولد من أبيه خاصّة؟</w:t>
      </w:r>
    </w:p>
    <w:p w14:paraId="4CC5D51F"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ووجه قول الشيخ بوجوب الإنفاق أنّه أوّلاً: يرى اختصاص النفقة بالحمل في حال الحمل، وثانياً: يعتبر تكذيب الأب لنفسه بعد اللعان موجباً لرجوع النسب</w:t>
      </w:r>
      <w:r>
        <w:rPr>
          <w:rStyle w:val="FootnoteReference"/>
          <w:rFonts w:cs="Abz-2 (Badr)"/>
          <w:color w:val="000000" w:themeColor="text1"/>
          <w:sz w:val="28"/>
          <w:szCs w:val="28"/>
          <w:rtl/>
          <w:lang w:bidi="ar"/>
        </w:rPr>
        <w:footnoteReference w:id="16"/>
      </w:r>
      <w:r>
        <w:rPr>
          <w:rFonts w:cs="Abz-2 (Badr)" w:hint="cs"/>
          <w:color w:val="000000" w:themeColor="text1"/>
          <w:sz w:val="28"/>
          <w:szCs w:val="28"/>
          <w:rtl/>
        </w:rPr>
        <w:t>.</w:t>
      </w:r>
    </w:p>
    <w:p w14:paraId="5C8DD203"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 xml:space="preserve">غير أنّ ما أورده كاشف اللثام من الإشكال على ذلك بدعوى أنّ نفقة الأقارب لا تقضى، إشكال في محلّه، إذ لا وجه للحكم بوجوب دفع النفقة التي لم يكن الأب قد أدّاها للحمل قبل رجوعه عن دعواه. إلّا إذا كانت الأُمّ قد تولّت الإنفاق على الحمل خلال تلك المدّة بسبب نفي الأب للولد ووقوع اللعان، ففي هذه الصورة يجب على الأب أن يردّ إليها ما أنفقته، </w:t>
      </w:r>
      <w:r>
        <w:rPr>
          <w:rFonts w:cs="Abz-2 (Badr)" w:hint="cs"/>
          <w:color w:val="000000" w:themeColor="text1"/>
          <w:sz w:val="28"/>
          <w:szCs w:val="28"/>
          <w:rtl/>
        </w:rPr>
        <w:lastRenderedPageBreak/>
        <w:t>لأنّ السبب في وجوب إنفاقها علی الحمل هو دعواه الكاذبة في نفي الولد.</w:t>
      </w:r>
    </w:p>
    <w:p w14:paraId="47BEAF6E"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ولکنّ الذي ينبغي قوله في جميع هذه الفروض هو أنّه بعد أن تقرّر أنّ نفقة المطلّقة الحامل مختصّة بالحامل نفسها وأنّ المستفاد من الآية والروايات لا يزيد على ثبوت وجوب النفقة المذكورة في مورد الطلاق خاصّة، فلا دليل على وجوبها عند حصول الفرقة بوجه آخر، وعليه فلا وجه للحكم بوجوب الإنفاق في شيء من الفروض المتقدّمة.</w:t>
      </w:r>
    </w:p>
    <w:p w14:paraId="795CEFD7" w14:textId="77777777" w:rsidR="00F60C09" w:rsidRDefault="00F60C09" w:rsidP="00F60C09">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 xml:space="preserve">وبناءً على هذا المطلب، يتّضح إشكال كلام آخر للعلامة أيضاً حيث قال في ضمنه: </w:t>
      </w:r>
      <w:r>
        <w:rPr>
          <w:rFonts w:cs="Abz-2 (Badr)" w:hint="cs"/>
          <w:color w:val="0070C0"/>
          <w:sz w:val="28"/>
          <w:szCs w:val="28"/>
          <w:rtl/>
          <w:lang w:bidi="fa-IR"/>
        </w:rPr>
        <w:t>«</w:t>
      </w:r>
      <w:r>
        <w:rPr>
          <w:rFonts w:cs="Abz-2 (Badr)" w:hint="cs"/>
          <w:color w:val="0070C0"/>
          <w:sz w:val="28"/>
          <w:szCs w:val="28"/>
          <w:rtl/>
          <w:lang w:bidi="ar"/>
        </w:rPr>
        <w:t>المعتدّة عن شبهة... إن كانت خليّة عن النكاح، فلا نفقة لها على الواطئ، إلا مع الحمل، فتثبت لها النفقة إن قلنا: إنّها للحمل.»</w:t>
      </w:r>
      <w:r>
        <w:rPr>
          <w:rStyle w:val="FootnoteReference"/>
          <w:rFonts w:cs="Abz-2 (Badr)"/>
          <w:color w:val="000000" w:themeColor="text1"/>
          <w:sz w:val="28"/>
          <w:szCs w:val="28"/>
          <w:rtl/>
          <w:lang w:bidi="ar"/>
        </w:rPr>
        <w:footnoteReference w:id="17"/>
      </w:r>
    </w:p>
    <w:p w14:paraId="7D6A05FC" w14:textId="77777777" w:rsidR="00F60C09" w:rsidRDefault="00F60C09" w:rsidP="00F60C09">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ثمّ إنّه قد وردت في کلمات الأصحاب فروع حول نفقة المطلّقة الرجعيّة </w:t>
      </w:r>
      <w:r>
        <w:rPr>
          <w:rFonts w:cs="Abz-2 (Badr)" w:hint="cs"/>
          <w:color w:val="000000" w:themeColor="text1"/>
          <w:sz w:val="28"/>
          <w:szCs w:val="28"/>
          <w:rtl/>
        </w:rPr>
        <w:t>سنعقب ببحثها وتحقيقها فيما يأتي.</w:t>
      </w:r>
    </w:p>
    <w:p w14:paraId="6774908D"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B050"/>
          <w:sz w:val="28"/>
          <w:szCs w:val="28"/>
          <w:rtl/>
        </w:rPr>
        <w:t>الفرع الأوّل</w:t>
      </w:r>
      <w:r>
        <w:rPr>
          <w:rFonts w:cs="Abz-2 (Badr)" w:hint="cs"/>
          <w:color w:val="00B050"/>
          <w:sz w:val="28"/>
          <w:szCs w:val="28"/>
          <w:rtl/>
          <w:lang w:bidi="ar"/>
        </w:rPr>
        <w:t>:</w:t>
      </w:r>
      <w:r>
        <w:rPr>
          <w:rFonts w:cs="Abz-2 (Badr)" w:hint="cs"/>
          <w:b/>
          <w:bCs/>
          <w:color w:val="00B050"/>
          <w:sz w:val="28"/>
          <w:szCs w:val="28"/>
          <w:rtl/>
          <w:lang w:bidi="ar"/>
        </w:rPr>
        <w:t xml:space="preserve"> </w:t>
      </w:r>
      <w:r>
        <w:rPr>
          <w:rFonts w:cs="Abz-2 (Badr)" w:hint="cs"/>
          <w:color w:val="000000" w:themeColor="text1"/>
          <w:sz w:val="28"/>
          <w:szCs w:val="28"/>
          <w:rtl/>
        </w:rPr>
        <w:t>هل الآلات والأدوات المعدّة لتنظيف الزوجة ـ التي يجب على الزوج تحمّل نفقتها ـ تكون واجبة الدفع أيضاً في حقّ المطلّقة الرجعيّة؟</w:t>
      </w:r>
    </w:p>
    <w:p w14:paraId="7DDA62BC" w14:textId="77777777" w:rsidR="00F60C09" w:rsidRDefault="00F60C09" w:rsidP="00F60C09">
      <w:pPr>
        <w:widowControl w:val="0"/>
        <w:bidi/>
        <w:spacing w:after="0" w:line="244" w:lineRule="auto"/>
        <w:ind w:firstLine="284"/>
        <w:jc w:val="both"/>
        <w:rPr>
          <w:rFonts w:cs="Abz-2 (Badr)"/>
          <w:color w:val="0070C0"/>
          <w:sz w:val="28"/>
          <w:szCs w:val="28"/>
          <w:lang w:bidi="ar"/>
        </w:rPr>
      </w:pPr>
      <w:r>
        <w:rPr>
          <w:rFonts w:cs="Abz-2 (Badr)" w:hint="cs"/>
          <w:color w:val="000000" w:themeColor="text1"/>
          <w:sz w:val="28"/>
          <w:szCs w:val="28"/>
          <w:rtl/>
        </w:rPr>
        <w:t xml:space="preserve">قال صاحب المسالك في هذا الشأن: </w:t>
      </w:r>
      <w:r>
        <w:rPr>
          <w:rFonts w:cs="Abz-2 (Badr)" w:hint="cs"/>
          <w:color w:val="0070C0"/>
          <w:sz w:val="28"/>
          <w:szCs w:val="28"/>
          <w:rtl/>
          <w:lang w:bidi="fa-IR"/>
        </w:rPr>
        <w:t>«</w:t>
      </w:r>
      <w:r>
        <w:rPr>
          <w:rFonts w:cs="Abz-2 (Badr)" w:hint="cs"/>
          <w:color w:val="0070C0"/>
          <w:sz w:val="28"/>
          <w:szCs w:val="28"/>
          <w:rtl/>
          <w:lang w:bidi="ar"/>
        </w:rPr>
        <w:t>استثنى بعضهم من مؤونتها آلة التنظيف، لأنّ الزوج ممتنع عنها؛ وهو حسن.»</w:t>
      </w:r>
      <w:r>
        <w:rPr>
          <w:rStyle w:val="FootnoteReference"/>
          <w:rFonts w:cs="Abz-2 (Badr)"/>
          <w:color w:val="000000" w:themeColor="text1"/>
          <w:sz w:val="28"/>
          <w:szCs w:val="28"/>
          <w:rtl/>
          <w:lang w:bidi="ar"/>
        </w:rPr>
        <w:footnoteReference w:id="18"/>
      </w:r>
    </w:p>
    <w:p w14:paraId="3E0ACD9E"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ومراده من لفظ «بعض» هم جماعة من فقهاء العامّة.</w:t>
      </w:r>
    </w:p>
    <w:p w14:paraId="3F7F0209" w14:textId="77777777" w:rsidR="00F60C09" w:rsidRDefault="00F60C09" w:rsidP="00F60C09">
      <w:pPr>
        <w:widowControl w:val="0"/>
        <w:bidi/>
        <w:spacing w:after="0" w:line="244" w:lineRule="auto"/>
        <w:ind w:firstLine="284"/>
        <w:jc w:val="both"/>
        <w:rPr>
          <w:rFonts w:cs="Abz-2 (Badr)"/>
          <w:color w:val="0070C0"/>
          <w:sz w:val="28"/>
          <w:szCs w:val="28"/>
        </w:rPr>
      </w:pPr>
      <w:r>
        <w:rPr>
          <w:rFonts w:cs="Abz-2 (Badr)" w:hint="cs"/>
          <w:color w:val="000000" w:themeColor="text1"/>
          <w:sz w:val="28"/>
          <w:szCs w:val="28"/>
          <w:rtl/>
        </w:rPr>
        <w:t xml:space="preserve">قال النووي الشافعي في روضة الطالبين: </w:t>
      </w:r>
      <w:r>
        <w:rPr>
          <w:rFonts w:cs="Abz-2 (Badr)" w:hint="cs"/>
          <w:color w:val="0070C0"/>
          <w:sz w:val="28"/>
          <w:szCs w:val="28"/>
          <w:rtl/>
          <w:lang w:bidi="ar"/>
        </w:rPr>
        <w:t>«</w:t>
      </w:r>
      <w:r>
        <w:rPr>
          <w:rFonts w:cs="Abz-2 (Badr)" w:hint="cs"/>
          <w:color w:val="0070C0"/>
          <w:sz w:val="28"/>
          <w:szCs w:val="28"/>
          <w:rtl/>
        </w:rPr>
        <w:t>المعتدّة الرجعيّة تستحقّ النفقة والكسوة وسائر المؤن إلا آلة التنظّف.»</w:t>
      </w:r>
      <w:r>
        <w:rPr>
          <w:rStyle w:val="FootnoteReference"/>
          <w:rFonts w:cs="Abz-2 (Badr)"/>
          <w:color w:val="000000" w:themeColor="text1"/>
          <w:sz w:val="28"/>
          <w:szCs w:val="28"/>
          <w:rtl/>
          <w:lang w:bidi="ar"/>
        </w:rPr>
        <w:footnoteReference w:id="19"/>
      </w:r>
    </w:p>
    <w:p w14:paraId="067DF2BB" w14:textId="77777777" w:rsidR="00F60C09" w:rsidRDefault="00F60C09" w:rsidP="00F60C09">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ar"/>
        </w:rPr>
        <w:t xml:space="preserve">وقال الفيض الکاشاني: </w:t>
      </w:r>
      <w:r>
        <w:rPr>
          <w:rFonts w:cs="Abz-2 (Badr)" w:hint="cs"/>
          <w:color w:val="0070C0"/>
          <w:sz w:val="28"/>
          <w:szCs w:val="28"/>
          <w:rtl/>
          <w:lang w:bidi="ar"/>
        </w:rPr>
        <w:t>«وتثبت للمطلّقة الرجعيّة، للنصوص ولبقاء حبس الزوج وسلطنته، إلا مؤونة التنظيف على رأي حسن، لامتناع الزوج عنها.»</w:t>
      </w:r>
      <w:r>
        <w:rPr>
          <w:rStyle w:val="FootnoteReference"/>
          <w:rFonts w:cs="Abz-2 (Badr)"/>
          <w:color w:val="000000" w:themeColor="text1"/>
          <w:sz w:val="28"/>
          <w:szCs w:val="28"/>
          <w:rtl/>
          <w:lang w:bidi="ar"/>
        </w:rPr>
        <w:footnoteReference w:id="20"/>
      </w:r>
    </w:p>
    <w:p w14:paraId="28D5B325" w14:textId="77777777" w:rsidR="00F60C09" w:rsidRDefault="00F60C09" w:rsidP="00F60C09">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ولکن قال </w:t>
      </w:r>
      <w:r>
        <w:rPr>
          <w:rFonts w:cs="Abz-2 (Badr)" w:hint="cs"/>
          <w:color w:val="000000" w:themeColor="text1"/>
          <w:sz w:val="28"/>
          <w:szCs w:val="28"/>
          <w:rtl/>
          <w:lang w:bidi="ar"/>
        </w:rPr>
        <w:t xml:space="preserve">صاحب المدارك: </w:t>
      </w:r>
      <w:r>
        <w:rPr>
          <w:rFonts w:cs="Abz-2 (Badr)" w:hint="cs"/>
          <w:color w:val="0070C0"/>
          <w:sz w:val="28"/>
          <w:szCs w:val="28"/>
          <w:rtl/>
          <w:lang w:bidi="ar"/>
        </w:rPr>
        <w:t>«استثنى بعضهم من النفقة آلة التنظيف، لأنّ الزوج لا ينتفع بذلك، والإطلاق أجود، فلعلّ‌ الله يحدث بعد ذلك أمراً.»</w:t>
      </w:r>
      <w:r>
        <w:rPr>
          <w:rStyle w:val="FootnoteReference"/>
          <w:rFonts w:cs="Abz-2 (Badr)"/>
          <w:color w:val="000000" w:themeColor="text1"/>
          <w:sz w:val="28"/>
          <w:szCs w:val="28"/>
          <w:rtl/>
          <w:lang w:bidi="ar"/>
        </w:rPr>
        <w:footnoteReference w:id="21"/>
      </w:r>
    </w:p>
    <w:p w14:paraId="294669A9" w14:textId="77777777" w:rsidR="00F60C09" w:rsidRDefault="00F60C09" w:rsidP="00F60C09">
      <w:pPr>
        <w:widowControl w:val="0"/>
        <w:bidi/>
        <w:spacing w:after="0" w:line="244" w:lineRule="auto"/>
        <w:ind w:firstLine="284"/>
        <w:jc w:val="both"/>
        <w:rPr>
          <w:rFonts w:cs="Abz-2 (Badr)" w:hint="cs"/>
          <w:color w:val="0070C0"/>
          <w:sz w:val="28"/>
          <w:szCs w:val="28"/>
          <w:rtl/>
          <w:lang w:bidi="ar"/>
        </w:rPr>
      </w:pPr>
      <w:r>
        <w:rPr>
          <w:rFonts w:cs="Abz-2 (Badr)" w:hint="cs"/>
          <w:color w:val="000000" w:themeColor="text1"/>
          <w:sz w:val="28"/>
          <w:szCs w:val="28"/>
          <w:rtl/>
          <w:lang w:bidi="fa-IR"/>
        </w:rPr>
        <w:lastRenderedPageBreak/>
        <w:t xml:space="preserve">وقال </w:t>
      </w:r>
      <w:r>
        <w:rPr>
          <w:rFonts w:cs="Abz-2 (Badr)" w:hint="cs"/>
          <w:color w:val="000000" w:themeColor="text1"/>
          <w:sz w:val="28"/>
          <w:szCs w:val="28"/>
          <w:rtl/>
          <w:lang w:bidi="ar"/>
        </w:rPr>
        <w:t xml:space="preserve">صاحب الرياض: </w:t>
      </w:r>
      <w:r>
        <w:rPr>
          <w:rFonts w:cs="Abz-2 (Badr)" w:hint="cs"/>
          <w:color w:val="0070C0"/>
          <w:sz w:val="28"/>
          <w:szCs w:val="28"/>
          <w:rtl/>
          <w:lang w:bidi="ar"/>
        </w:rPr>
        <w:t xml:space="preserve">«ربما استثني آلة التنظيف، لأنّها لفائدة الاستمتاع وقد انتفت بالطلاق. </w:t>
      </w:r>
    </w:p>
    <w:p w14:paraId="0D503C5C" w14:textId="77777777" w:rsidR="00F60C09" w:rsidRDefault="00F60C09" w:rsidP="00F60C09">
      <w:pPr>
        <w:widowControl w:val="0"/>
        <w:bidi/>
        <w:spacing w:after="0"/>
        <w:ind w:firstLine="284"/>
        <w:jc w:val="both"/>
        <w:rPr>
          <w:rFonts w:cs="Abz-2 (Badr)"/>
          <w:color w:val="0070C0"/>
          <w:sz w:val="28"/>
          <w:szCs w:val="28"/>
          <w:lang w:bidi="fa-IR"/>
        </w:rPr>
      </w:pPr>
      <w:r>
        <w:rPr>
          <w:rFonts w:cs="Abz-2 (Badr)" w:hint="cs"/>
          <w:color w:val="0070C0"/>
          <w:sz w:val="28"/>
          <w:szCs w:val="28"/>
          <w:rtl/>
          <w:lang w:bidi="ar"/>
        </w:rPr>
        <w:t xml:space="preserve">ويدفعه بعد الإطلاقات ظاهر: </w:t>
      </w:r>
      <w:r>
        <w:rPr>
          <w:rFonts w:cs="QuranTaha" w:hint="cs"/>
          <w:color w:val="BF8F00" w:themeColor="accent4" w:themeShade="BF"/>
          <w:sz w:val="26"/>
          <w:szCs w:val="26"/>
          <w:rtl/>
          <w:lang w:bidi="ar"/>
        </w:rPr>
        <w:t>«لَعَلَّ‌ اللّٰهَ‌ يُحْدِثُ‌ بَعْدَ ذٰلِكَ‌ أَمْراً»</w:t>
      </w:r>
      <w:r>
        <w:rPr>
          <w:rStyle w:val="FootnoteReference"/>
          <w:rFonts w:cs="Abz-2 (Badr)"/>
          <w:color w:val="000000" w:themeColor="text1"/>
          <w:sz w:val="28"/>
          <w:szCs w:val="28"/>
          <w:rtl/>
          <w:lang w:bidi="ar"/>
        </w:rPr>
        <w:footnoteReference w:id="22"/>
      </w:r>
      <w:r>
        <w:rPr>
          <w:rFonts w:cs="Abz-2 (Badr)" w:hint="cs"/>
          <w:color w:val="0070C0"/>
          <w:sz w:val="28"/>
          <w:szCs w:val="28"/>
          <w:rtl/>
          <w:lang w:bidi="ar"/>
        </w:rPr>
        <w:t xml:space="preserve"> المفسّر في المعتبرة بتزيّن الزوجة رجاء الرجعة.»</w:t>
      </w:r>
      <w:r>
        <w:rPr>
          <w:rStyle w:val="FootnoteReference"/>
          <w:rFonts w:cs="Abz-2 (Badr)"/>
          <w:color w:val="000000" w:themeColor="text1"/>
          <w:sz w:val="28"/>
          <w:szCs w:val="28"/>
          <w:rtl/>
          <w:lang w:bidi="ar"/>
        </w:rPr>
        <w:footnoteReference w:id="23"/>
      </w:r>
    </w:p>
    <w:p w14:paraId="5A283F3B"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وقد استند صاحب الرياض ـ تبعًا لصاحب الحدائق ـ في تتمّة كلامه إلى جملة من الأخبار أيضاً في تأييد مدّعاه</w:t>
      </w:r>
      <w:r>
        <w:rPr>
          <w:rFonts w:cs="Abz-2 (Badr)" w:hint="cs"/>
          <w:color w:val="000000" w:themeColor="text1"/>
          <w:sz w:val="28"/>
          <w:szCs w:val="28"/>
          <w:rtl/>
          <w:lang w:bidi="ar"/>
        </w:rPr>
        <w:t>:</w:t>
      </w:r>
    </w:p>
    <w:p w14:paraId="550EA1E9" w14:textId="77777777" w:rsidR="00F60C09" w:rsidRDefault="00F60C09" w:rsidP="00F60C0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ar"/>
        </w:rPr>
        <w:t xml:space="preserve">منها: موثّقة أبي بصير عن أحدهما(ع): </w:t>
      </w:r>
      <w:r>
        <w:rPr>
          <w:rFonts w:ascii="IRBadr" w:hAnsi="IRBadr" w:cs="Abz-2 (Badr)" w:hint="cs"/>
          <w:color w:val="70AD47" w:themeColor="accent6"/>
          <w:kern w:val="2"/>
          <w:sz w:val="28"/>
          <w:szCs w:val="28"/>
          <w:rtl/>
          <w:lang w:bidi="fa-IR"/>
          <w14:ligatures w14:val="standardContextual"/>
        </w:rPr>
        <w:t>«في المطلّقة تعتدّ في بيتها وتُظهر له زينتها؛</w:t>
      </w:r>
      <w:r>
        <w:rPr>
          <w:rFonts w:cs="Abz-2 (Badr)" w:hint="cs"/>
          <w:color w:val="00B0F0"/>
          <w:sz w:val="28"/>
          <w:szCs w:val="28"/>
          <w:rtl/>
          <w:lang w:bidi="ar"/>
        </w:rPr>
        <w:t xml:space="preserve"> </w:t>
      </w:r>
      <w:r>
        <w:rPr>
          <w:rFonts w:cs="QuranTaha" w:hint="cs"/>
          <w:color w:val="BF8F00" w:themeColor="accent4" w:themeShade="BF"/>
          <w:sz w:val="26"/>
          <w:szCs w:val="26"/>
          <w:rtl/>
          <w:lang w:bidi="ar"/>
        </w:rPr>
        <w:t>«لَعَلَّ‌ اللّٰهَ‌ يُحْدِثُ‌ بَعْدَ ذٰلِكَ‌ أَمْراً»</w:t>
      </w:r>
      <w:r>
        <w:rPr>
          <w:rFonts w:ascii="IRBadr" w:hAnsi="IRBadr" w:cs="Abz-2 (Badr)" w:hint="cs"/>
          <w:color w:val="70AD47" w:themeColor="accent6"/>
          <w:kern w:val="2"/>
          <w:sz w:val="28"/>
          <w:szCs w:val="28"/>
          <w:rtl/>
          <w:lang w:bidi="fa-IR"/>
          <w14:ligatures w14:val="standardContextual"/>
        </w:rPr>
        <w:t>.»</w:t>
      </w:r>
      <w:r>
        <w:rPr>
          <w:rStyle w:val="FootnoteReference"/>
          <w:rFonts w:cs="Abz-2 (Badr)"/>
          <w:color w:val="000000" w:themeColor="text1"/>
          <w:sz w:val="28"/>
          <w:szCs w:val="28"/>
          <w:rtl/>
          <w:lang w:bidi="ar"/>
        </w:rPr>
        <w:footnoteReference w:id="24"/>
      </w:r>
    </w:p>
    <w:p w14:paraId="2D663B91" w14:textId="77777777" w:rsidR="00F60C09" w:rsidRDefault="00F60C09" w:rsidP="00F60C09">
      <w:pPr>
        <w:widowControl w:val="0"/>
        <w:bidi/>
        <w:spacing w:after="0"/>
        <w:ind w:firstLine="284"/>
        <w:jc w:val="both"/>
        <w:rPr>
          <w:rFonts w:cs="Abz-2 (Badr)" w:hint="cs"/>
          <w:color w:val="00B0F0"/>
          <w:sz w:val="28"/>
          <w:szCs w:val="28"/>
          <w:rtl/>
          <w:lang w:bidi="fa-IR"/>
        </w:rPr>
      </w:pPr>
      <w:r>
        <w:rPr>
          <w:rFonts w:cs="Abz-2 (Badr)" w:hint="cs"/>
          <w:color w:val="000000" w:themeColor="text1"/>
          <w:sz w:val="28"/>
          <w:szCs w:val="28"/>
          <w:rtl/>
          <w:lang w:bidi="ar"/>
        </w:rPr>
        <w:t xml:space="preserve">ومنها: معتبرة محمّد بن قيس عن أبي جعفر(ع)، قال: </w:t>
      </w:r>
      <w:r>
        <w:rPr>
          <w:rFonts w:ascii="IRBadr" w:hAnsi="IRBadr" w:cs="Abz-2 (Badr)" w:hint="cs"/>
          <w:color w:val="70AD47" w:themeColor="accent6"/>
          <w:kern w:val="2"/>
          <w:sz w:val="28"/>
          <w:szCs w:val="28"/>
          <w:rtl/>
          <w:lang w:bidi="fa-IR"/>
          <w14:ligatures w14:val="standardContextual"/>
        </w:rPr>
        <w:t>«المطلّقة تشوّفت لزوجها ما كان له عليها رجعة، ولا يستأذن عليها.»</w:t>
      </w:r>
      <w:r>
        <w:rPr>
          <w:rStyle w:val="FootnoteReference"/>
          <w:rFonts w:cs="Abz-2 (Badr)"/>
          <w:color w:val="000000" w:themeColor="text1"/>
          <w:sz w:val="28"/>
          <w:szCs w:val="28"/>
          <w:rtl/>
          <w:lang w:bidi="ar"/>
        </w:rPr>
        <w:footnoteReference w:id="25"/>
      </w:r>
    </w:p>
    <w:p w14:paraId="4607EDEF" w14:textId="77777777" w:rsidR="00F60C09" w:rsidRDefault="00F60C09" w:rsidP="00F60C09">
      <w:pPr>
        <w:widowControl w:val="0"/>
        <w:bidi/>
        <w:spacing w:after="0"/>
        <w:ind w:firstLine="284"/>
        <w:jc w:val="both"/>
        <w:rPr>
          <w:rFonts w:cs="Abz-2 (Badr)" w:hint="cs"/>
          <w:color w:val="00B0F0"/>
          <w:sz w:val="28"/>
          <w:szCs w:val="28"/>
          <w:rtl/>
          <w:lang w:bidi="fa-IR"/>
        </w:rPr>
      </w:pPr>
      <w:r>
        <w:rPr>
          <w:rFonts w:cs="Abz-2 (Badr)" w:hint="cs"/>
          <w:color w:val="000000" w:themeColor="text1"/>
          <w:sz w:val="28"/>
          <w:szCs w:val="28"/>
          <w:rtl/>
          <w:lang w:bidi="ar"/>
        </w:rPr>
        <w:t xml:space="preserve">ومنها: خبر زرارة عن أبي عبدالله(ع)، قال: </w:t>
      </w:r>
      <w:r>
        <w:rPr>
          <w:rFonts w:ascii="IRBadr" w:hAnsi="IRBadr" w:cs="Abz-2 (Badr)" w:hint="cs"/>
          <w:color w:val="70AD47" w:themeColor="accent6"/>
          <w:kern w:val="2"/>
          <w:sz w:val="28"/>
          <w:szCs w:val="28"/>
          <w:rtl/>
          <w:lang w:bidi="fa-IR"/>
          <w14:ligatures w14:val="standardContextual"/>
        </w:rPr>
        <w:t xml:space="preserve">«المطلّقة تكتحل وتختضب وتطيّب وتلبس ما شاءت من الثياب، لأنّ الله عزّ وجلّ يقول: </w:t>
      </w:r>
      <w:r>
        <w:rPr>
          <w:rFonts w:cs="QuranTaha" w:hint="cs"/>
          <w:color w:val="BF8F00" w:themeColor="accent4" w:themeShade="BF"/>
          <w:sz w:val="26"/>
          <w:szCs w:val="26"/>
          <w:rtl/>
          <w:lang w:bidi="ar"/>
        </w:rPr>
        <w:t>«لَعَلَّ‌ اللّٰهَ‌ يُحْدِثُ‌ بَعْدَ ذٰلِكَ‌ أَمْراً»</w:t>
      </w:r>
      <w:r>
        <w:rPr>
          <w:rFonts w:ascii="IRBadr" w:hAnsi="IRBadr" w:cs="Abz-2 (Badr)" w:hint="cs"/>
          <w:color w:val="70AD47" w:themeColor="accent6"/>
          <w:kern w:val="2"/>
          <w:sz w:val="28"/>
          <w:szCs w:val="28"/>
          <w:rtl/>
          <w:lang w:bidi="fa-IR"/>
          <w14:ligatures w14:val="standardContextual"/>
        </w:rPr>
        <w:t>، لعلّها أن تقع في نفسه فيراجعها.»</w:t>
      </w:r>
      <w:r>
        <w:rPr>
          <w:rStyle w:val="FootnoteReference"/>
          <w:rFonts w:cs="Abz-2 (Badr)"/>
          <w:color w:val="000000" w:themeColor="text1"/>
          <w:sz w:val="28"/>
          <w:szCs w:val="28"/>
          <w:rtl/>
          <w:lang w:bidi="ar"/>
        </w:rPr>
        <w:footnoteReference w:id="26"/>
      </w:r>
    </w:p>
    <w:p w14:paraId="393FD5DF" w14:textId="77777777" w:rsidR="00F60C09" w:rsidRDefault="00F60C09" w:rsidP="00F60C09">
      <w:pPr>
        <w:widowControl w:val="0"/>
        <w:bidi/>
        <w:spacing w:after="0"/>
        <w:ind w:firstLine="284"/>
        <w:jc w:val="both"/>
        <w:rPr>
          <w:rFonts w:cs="Abz-2 (Badr)" w:hint="cs"/>
          <w:color w:val="00B0F0"/>
          <w:sz w:val="28"/>
          <w:szCs w:val="28"/>
          <w:rtl/>
          <w:lang w:bidi="fa-IR"/>
        </w:rPr>
      </w:pPr>
      <w:r>
        <w:rPr>
          <w:rFonts w:cs="Abz-2 (Badr)" w:hint="cs"/>
          <w:color w:val="000000" w:themeColor="text1"/>
          <w:sz w:val="28"/>
          <w:szCs w:val="28"/>
          <w:rtl/>
          <w:lang w:bidi="ar"/>
        </w:rPr>
        <w:t xml:space="preserve">ومنها: خبر عليّ بن جعفر عن أخيه موسی بن جعفر(ع)، قال: </w:t>
      </w:r>
      <w:r>
        <w:rPr>
          <w:rFonts w:ascii="IRBadr" w:hAnsi="IRBadr" w:cs="Abz-2 (Badr)" w:hint="cs"/>
          <w:color w:val="70AD47" w:themeColor="accent6"/>
          <w:kern w:val="2"/>
          <w:sz w:val="28"/>
          <w:szCs w:val="28"/>
          <w:rtl/>
          <w:lang w:bidi="fa-IR"/>
          <w14:ligatures w14:val="standardContextual"/>
        </w:rPr>
        <w:t>«سألته عن المطلّقة، لها أن تكتحل وتختضب أو تلبس ثوباً مصبوغاً؟ قال: لا بأس إذا فعلته من غير سوء.»</w:t>
      </w:r>
      <w:r>
        <w:rPr>
          <w:rStyle w:val="FootnoteReference"/>
          <w:rFonts w:cs="Abz-2 (Badr)"/>
          <w:color w:val="000000" w:themeColor="text1"/>
          <w:sz w:val="28"/>
          <w:szCs w:val="28"/>
          <w:rtl/>
          <w:lang w:bidi="ar"/>
        </w:rPr>
        <w:footnoteReference w:id="27"/>
      </w:r>
    </w:p>
    <w:p w14:paraId="60FCA300" w14:textId="77777777" w:rsidR="00F60C09" w:rsidRDefault="00F60C09" w:rsidP="00F60C0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إلا أنّه توقّف في نهاية المطاف في الاستناد إليها لإثبات مدّعاه وتأمّل في دلالتها.</w:t>
      </w:r>
    </w:p>
    <w:p w14:paraId="570632C8" w14:textId="77777777" w:rsidR="00F60C09" w:rsidRDefault="00F60C09" w:rsidP="00F60C09">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وقال صاحب الجواهر في بيان الإشكال الوارد على التمسّك بهذه الأخبار</w:t>
      </w:r>
      <w:r>
        <w:rPr>
          <w:rFonts w:cs="Abz-2 (Badr)" w:hint="cs"/>
          <w:color w:val="000000" w:themeColor="text1"/>
          <w:sz w:val="28"/>
          <w:szCs w:val="28"/>
          <w:rtl/>
          <w:lang w:bidi="ar"/>
        </w:rPr>
        <w:t xml:space="preserve">: </w:t>
      </w:r>
      <w:r>
        <w:rPr>
          <w:rFonts w:cs="Abz-2 (Badr)" w:hint="cs"/>
          <w:color w:val="0070C0"/>
          <w:sz w:val="28"/>
          <w:szCs w:val="28"/>
          <w:rtl/>
          <w:lang w:bidi="ar"/>
        </w:rPr>
        <w:t>«إنّ ذلك كلّه لا يدلّ على كون آلة الزينة منه، ولعلّ الأولى الاستدلال عليها بالإطلاق السابق.»</w:t>
      </w:r>
      <w:r>
        <w:rPr>
          <w:rStyle w:val="FootnoteReference"/>
          <w:rFonts w:cs="Abz-2 (Badr)"/>
          <w:color w:val="000000" w:themeColor="text1"/>
          <w:sz w:val="28"/>
          <w:szCs w:val="28"/>
          <w:rtl/>
          <w:lang w:bidi="ar"/>
        </w:rPr>
        <w:footnoteReference w:id="28"/>
      </w:r>
    </w:p>
    <w:p w14:paraId="23D6FF32" w14:textId="77777777" w:rsidR="00F60C09" w:rsidRDefault="00F60C09" w:rsidP="00F60C0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 xml:space="preserve">والحقّ أنّ ما أفاده صاحب الجواهر في هذا الإشكال تامّ قابل للالتزام، إذ مجرّد جواز تزيّن المطلّقة الرجعيّة بل ووجوبه </w:t>
      </w:r>
      <w:r>
        <w:rPr>
          <w:rFonts w:cs="Abz-2 (Badr)" w:hint="cs"/>
          <w:color w:val="000000" w:themeColor="text1"/>
          <w:sz w:val="28"/>
          <w:szCs w:val="28"/>
          <w:rtl/>
        </w:rPr>
        <w:lastRenderedPageBreak/>
        <w:t>عليها أحياناً، لا يقتضي أن تكون نفقته ـ أي مؤونة الزينة وآلات التنظيف ـ على عاتق المطلّق.</w:t>
      </w:r>
    </w:p>
    <w:p w14:paraId="0A08E128" w14:textId="77777777" w:rsidR="00F60C09" w:rsidRDefault="00F60C09" w:rsidP="00F60C09">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lang w:bidi="ar"/>
        </w:rPr>
        <w:t>ونوکل ما يمکن الالتزام به في هذه المسألة إلی الجلسة القادمة إن شاء الله.</w:t>
      </w:r>
    </w:p>
    <w:p w14:paraId="2AD04477" w14:textId="7D63A4A4" w:rsidR="00B706A3" w:rsidRPr="00F60C09" w:rsidRDefault="00B706A3" w:rsidP="00F60C09">
      <w:pPr>
        <w:rPr>
          <w:rtl/>
        </w:rPr>
      </w:pPr>
    </w:p>
    <w:sectPr w:rsidR="00B706A3" w:rsidRPr="00F60C09"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BF3C4" w14:textId="77777777" w:rsidR="00CC799B" w:rsidRDefault="00CC799B" w:rsidP="00F71127">
      <w:pPr>
        <w:spacing w:after="0" w:line="240" w:lineRule="auto"/>
      </w:pPr>
      <w:r>
        <w:separator/>
      </w:r>
    </w:p>
  </w:endnote>
  <w:endnote w:type="continuationSeparator" w:id="0">
    <w:p w14:paraId="362A12AF" w14:textId="77777777" w:rsidR="00CC799B" w:rsidRDefault="00CC799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030C" w14:textId="77777777" w:rsidR="001214F5" w:rsidRDefault="00121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EC88" w14:textId="77777777" w:rsidR="001214F5" w:rsidRDefault="00121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813D9" w14:textId="77777777" w:rsidR="00CC799B" w:rsidRDefault="00CC799B" w:rsidP="00EE25C0">
      <w:pPr>
        <w:bidi/>
        <w:spacing w:after="0" w:line="240" w:lineRule="auto"/>
      </w:pPr>
      <w:r>
        <w:separator/>
      </w:r>
    </w:p>
  </w:footnote>
  <w:footnote w:type="continuationSeparator" w:id="0">
    <w:p w14:paraId="0C9CF4FD" w14:textId="77777777" w:rsidR="00CC799B" w:rsidRDefault="00CC799B" w:rsidP="00F71127">
      <w:pPr>
        <w:bidi/>
        <w:spacing w:after="0" w:line="240" w:lineRule="auto"/>
      </w:pPr>
      <w:r>
        <w:continuationSeparator/>
      </w:r>
    </w:p>
  </w:footnote>
  <w:footnote w:id="1">
    <w:p w14:paraId="11B273A8"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مبسوط،ج6،ص25 و 26.</w:t>
      </w:r>
    </w:p>
  </w:footnote>
  <w:footnote w:id="2">
    <w:p w14:paraId="060BA962"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الخلاف،ج5،ص28، مسأله 31.</w:t>
      </w:r>
    </w:p>
  </w:footnote>
  <w:footnote w:id="3">
    <w:p w14:paraId="086DD4AB"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قواعد،ج3،ص110.</w:t>
      </w:r>
    </w:p>
  </w:footnote>
  <w:footnote w:id="4">
    <w:p w14:paraId="78846335"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w:t>
      </w:r>
      <w:r>
        <w:rPr>
          <w:rFonts w:cs="Abz-2 (Badr)" w:hint="cs"/>
          <w:rtl/>
          <w:lang w:bidi="fa-IR"/>
        </w:rPr>
        <w:t xml:space="preserve"> الأفهام</w:t>
      </w:r>
      <w:r>
        <w:rPr>
          <w:rFonts w:cs="Abz-2 (Badr)" w:hint="cs"/>
          <w:rtl/>
        </w:rPr>
        <w:t>،ج8،ص449.</w:t>
      </w:r>
    </w:p>
  </w:footnote>
  <w:footnote w:id="5">
    <w:p w14:paraId="09DEE636"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روضة الطالبين،ج9،ص64.</w:t>
      </w:r>
    </w:p>
  </w:footnote>
  <w:footnote w:id="6">
    <w:p w14:paraId="47326621"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مفاتيح الشرائع،ج2،ص177.</w:t>
      </w:r>
    </w:p>
  </w:footnote>
  <w:footnote w:id="7">
    <w:p w14:paraId="7384E8E3"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نهاية المرام،ج1،ص478.</w:t>
      </w:r>
    </w:p>
  </w:footnote>
  <w:footnote w:id="8">
    <w:p w14:paraId="4CE731B1"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طلاق(65):1.</w:t>
      </w:r>
    </w:p>
  </w:footnote>
  <w:footnote w:id="9">
    <w:p w14:paraId="5C6A3C6C"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 المسائل،ج11،ص171.</w:t>
      </w:r>
    </w:p>
  </w:footnote>
  <w:footnote w:id="10">
    <w:p w14:paraId="729CF55D"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کافی،ج6،ص91،ح10 ـ وسائل الشيعة، الباب 21 من أبواب العدد،ح1،ج22،ص217.</w:t>
      </w:r>
    </w:p>
  </w:footnote>
  <w:footnote w:id="11">
    <w:p w14:paraId="0A7DF3D7"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کافی،ج6،ص91،ح7 ـ وسائل الشيعة، الباب 21 من أبواب العدد،ح4،ج22،ص218.</w:t>
      </w:r>
    </w:p>
  </w:footnote>
  <w:footnote w:id="12">
    <w:p w14:paraId="1D0026BF"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کافی،ج6،ص92،ح14 ـ وسائل الشيعة، الباب 21 من أبواب العدد،ح2،ج22،ص217.</w:t>
      </w:r>
    </w:p>
  </w:footnote>
  <w:footnote w:id="13">
    <w:p w14:paraId="29DB243C"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قرب الإسناد،ص253،ح999 ـ وسائل الشيعة، الباب 21 من أبواب العدد،ح6،ج22،ص218.</w:t>
      </w:r>
    </w:p>
  </w:footnote>
  <w:footnote w:id="14">
    <w:p w14:paraId="5709EA23"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الکلام،ج31،ص318.</w:t>
      </w:r>
    </w:p>
  </w:footnote>
  <w:footnote w:id="15">
    <w:p w14:paraId="32682079"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المبسوط،ج6،ص25 و 26.</w:t>
      </w:r>
    </w:p>
  </w:footnote>
  <w:footnote w:id="16">
    <w:p w14:paraId="5FB2A10A"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الخلاف،ج5،ص28، مسأله 31.</w:t>
      </w:r>
    </w:p>
  </w:footnote>
  <w:footnote w:id="17">
    <w:p w14:paraId="62D8E9BA"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القواعد،ج3،ص110.</w:t>
      </w:r>
    </w:p>
  </w:footnote>
  <w:footnote w:id="18">
    <w:p w14:paraId="368B7065"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w:t>
      </w:r>
      <w:r>
        <w:rPr>
          <w:rFonts w:cs="Abz-2 (Badr)" w:hint="cs"/>
          <w:rtl/>
          <w:lang w:bidi="fa-IR"/>
        </w:rPr>
        <w:t xml:space="preserve"> الأفهام</w:t>
      </w:r>
      <w:r>
        <w:rPr>
          <w:rFonts w:cs="Abz-2 (Badr)" w:hint="cs"/>
          <w:rtl/>
        </w:rPr>
        <w:t>،ج8،ص449.</w:t>
      </w:r>
    </w:p>
  </w:footnote>
  <w:footnote w:id="19">
    <w:p w14:paraId="1E6394C8"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روضة الطالبين،ج9،ص64.</w:t>
      </w:r>
    </w:p>
  </w:footnote>
  <w:footnote w:id="20">
    <w:p w14:paraId="6D4F7812"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مفاتيح الشرائع،ج2،ص177.</w:t>
      </w:r>
    </w:p>
  </w:footnote>
  <w:footnote w:id="21">
    <w:p w14:paraId="1CBE4C51"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نهاية المرام،ج1،ص478.</w:t>
      </w:r>
    </w:p>
  </w:footnote>
  <w:footnote w:id="22">
    <w:p w14:paraId="4B8289FB"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الطلاق(65):1.</w:t>
      </w:r>
    </w:p>
  </w:footnote>
  <w:footnote w:id="23">
    <w:p w14:paraId="69F431C1"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 المسائل،ج11،ص171.</w:t>
      </w:r>
    </w:p>
  </w:footnote>
  <w:footnote w:id="24">
    <w:p w14:paraId="5825B591"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الکافي،ج6،ص91،ح10 ـ وسائل الشيعة، الباب 21 من أبواب العدد،ح1،ج22،ص217.</w:t>
      </w:r>
    </w:p>
  </w:footnote>
  <w:footnote w:id="25">
    <w:p w14:paraId="39B37091"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الکافي،ج6،ص91،ح7 ـ وسائل الشيعة، الباب 21 من أبواب العدد،ح4،ج22،ص218.</w:t>
      </w:r>
    </w:p>
  </w:footnote>
  <w:footnote w:id="26">
    <w:p w14:paraId="33F22BF0"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الکافي،ج6،ص92،ح14 ـ وسائل الشيعة، الباب 21 من أبواب العدد،ح2،ج22،ص217.</w:t>
      </w:r>
    </w:p>
  </w:footnote>
  <w:footnote w:id="27">
    <w:p w14:paraId="6C8C780B"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قرب الإسناد،ص253،ح999 ـ وسائل الشيعة، الباب 21 من أبواب العدد،ح6،ج22،ص218.</w:t>
      </w:r>
    </w:p>
  </w:footnote>
  <w:footnote w:id="28">
    <w:p w14:paraId="63E62060" w14:textId="77777777" w:rsidR="00F60C09" w:rsidRDefault="00F60C09" w:rsidP="00F60C0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2A10" w14:textId="77777777" w:rsidR="001214F5" w:rsidRDefault="00121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BD5FC2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F60C09">
                            <w:rPr>
                              <w:rFonts w:cs="B Mehr" w:hint="cs"/>
                              <w:rtl/>
                              <w:lang w:bidi="fa-IR"/>
                            </w:rPr>
                            <w:t>10</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BD5FC2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F60C09">
                      <w:rPr>
                        <w:rFonts w:cs="B Mehr" w:hint="cs"/>
                        <w:rtl/>
                        <w:lang w:bidi="fa-IR"/>
                      </w:rPr>
                      <w:t>10</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065F" w14:textId="77777777" w:rsidR="001214F5" w:rsidRDefault="001214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648</cp:revision>
  <cp:lastPrinted>2025-04-14T09:12:00Z</cp:lastPrinted>
  <dcterms:created xsi:type="dcterms:W3CDTF">2022-10-16T08:36:00Z</dcterms:created>
  <dcterms:modified xsi:type="dcterms:W3CDTF">2025-11-01T07:05:00Z</dcterms:modified>
</cp:coreProperties>
</file>