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C4B87" w14:textId="77777777" w:rsidR="00AC18DB" w:rsidRDefault="00AC18DB" w:rsidP="00AC18DB">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2D5A5562" w14:textId="77777777" w:rsidR="00AC18DB" w:rsidRDefault="00AC18DB" w:rsidP="00AC18DB">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7D8A542F" w14:textId="77777777" w:rsidR="00AC18DB" w:rsidRDefault="00AC18DB" w:rsidP="00AC18DB">
      <w:pPr>
        <w:widowControl w:val="0"/>
        <w:bidi/>
        <w:spacing w:after="0"/>
        <w:jc w:val="center"/>
        <w:rPr>
          <w:rFonts w:cs="B Mitra" w:hint="cs"/>
          <w:b/>
          <w:bCs/>
          <w:sz w:val="32"/>
          <w:szCs w:val="32"/>
          <w:rtl/>
          <w:lang w:bidi="fa-IR"/>
        </w:rPr>
      </w:pPr>
      <w:r>
        <w:rPr>
          <w:rFonts w:cs="B Mitra" w:hint="cs"/>
          <w:b/>
          <w:bCs/>
          <w:sz w:val="32"/>
          <w:szCs w:val="32"/>
          <w:rtl/>
          <w:lang w:bidi="fa-IR"/>
        </w:rPr>
        <w:t>جلسه 863</w:t>
      </w:r>
    </w:p>
    <w:p w14:paraId="3ECC8922" w14:textId="77777777" w:rsidR="00AC18DB" w:rsidRDefault="00AC18DB" w:rsidP="00AC18DB">
      <w:pPr>
        <w:widowControl w:val="0"/>
        <w:bidi/>
        <w:spacing w:after="0"/>
        <w:ind w:firstLine="284"/>
        <w:jc w:val="both"/>
        <w:rPr>
          <w:rFonts w:cs="Abz-2 (Badr)" w:hint="cs"/>
          <w:sz w:val="28"/>
          <w:szCs w:val="28"/>
          <w:rtl/>
          <w:lang w:bidi="fa-IR"/>
        </w:rPr>
      </w:pPr>
      <w:bookmarkStart w:id="0" w:name="_Hlk159096966"/>
    </w:p>
    <w:bookmarkEnd w:id="0"/>
    <w:p w14:paraId="47B5B325" w14:textId="77777777" w:rsidR="00AC18DB" w:rsidRDefault="00AC18DB" w:rsidP="00AC18DB">
      <w:pPr>
        <w:widowControl w:val="0"/>
        <w:bidi/>
        <w:spacing w:after="0" w:line="252" w:lineRule="auto"/>
        <w:ind w:firstLine="284"/>
        <w:jc w:val="both"/>
        <w:rPr>
          <w:rFonts w:cs="Abz-2 (Badr)" w:hint="cs"/>
          <w:color w:val="0070C0"/>
          <w:sz w:val="28"/>
          <w:szCs w:val="28"/>
          <w:rtl/>
          <w:lang w:bidi="ar"/>
        </w:rPr>
      </w:pPr>
      <w:r>
        <w:rPr>
          <w:rFonts w:cs="Abz-2 (Badr)" w:hint="cs"/>
          <w:color w:val="000000" w:themeColor="text1"/>
          <w:sz w:val="28"/>
          <w:szCs w:val="28"/>
          <w:rtl/>
          <w:lang w:bidi="fa-IR"/>
        </w:rPr>
        <w:t>صاحب جواهر نيز در توضيح فرع سومی که در کلام شيخ گذشت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ومنها: في العبد إذا تزوّج أمة أو حرّة وشرط مولاه الانفراد برقّ الولد من الحرّة أو الأمة فأبانها حاملاً، إذ الولد حينئذٍ ملك للمولى، فالنفقة عليه، بل إن لم يشترط الرقّيّة في ولد الحرّة، لم تجب النفقة على الزوج أيضاً، لأنّه رقيق ولا نفقة عليه للقريب ولا على مولاه، وهو ظاهر كظهور اشتراك المؤمنين في النفقة مع عدم اشتراط الانفراد بالولد من الأمة.</w:t>
      </w:r>
    </w:p>
    <w:p w14:paraId="20A66B75" w14:textId="77777777" w:rsidR="00AC18DB" w:rsidRDefault="00AC18DB" w:rsidP="00AC18DB">
      <w:pPr>
        <w:widowControl w:val="0"/>
        <w:bidi/>
        <w:spacing w:after="0" w:line="252" w:lineRule="auto"/>
        <w:ind w:firstLine="284"/>
        <w:jc w:val="both"/>
        <w:rPr>
          <w:rFonts w:cs="Abz-2 (Badr)" w:hint="cs"/>
          <w:color w:val="0070C0"/>
          <w:sz w:val="28"/>
          <w:szCs w:val="28"/>
          <w:rtl/>
          <w:lang w:bidi="ar"/>
        </w:rPr>
      </w:pPr>
      <w:r>
        <w:rPr>
          <w:rFonts w:cs="Abz-2 (Badr)" w:hint="cs"/>
          <w:color w:val="0070C0"/>
          <w:sz w:val="28"/>
          <w:szCs w:val="28"/>
          <w:rtl/>
          <w:lang w:bidi="ar"/>
        </w:rPr>
        <w:t>وبالجملة: لا نفقة على الزوج الرقيق للحمل، حرّاً كان أم رقّاً، مشتركاً أو مختصّاً، فذكر المصنّف وغيره شرط الانفراد لعلّه لدفع ما قد يتوّهم من أنّه مع اشتراطه تكون نفقته عليه من كسبه كنفقة زوجته.</w:t>
      </w:r>
    </w:p>
    <w:p w14:paraId="2B753941" w14:textId="77777777" w:rsidR="00AC18DB" w:rsidRDefault="00AC18DB" w:rsidP="00AC18DB">
      <w:pPr>
        <w:widowControl w:val="0"/>
        <w:bidi/>
        <w:spacing w:after="0" w:line="252" w:lineRule="auto"/>
        <w:ind w:firstLine="284"/>
        <w:jc w:val="both"/>
        <w:rPr>
          <w:rFonts w:cs="Abz-2 (Badr)" w:hint="cs"/>
          <w:color w:val="0070C0"/>
          <w:sz w:val="28"/>
          <w:szCs w:val="28"/>
          <w:rtl/>
          <w:lang w:bidi="ar"/>
        </w:rPr>
      </w:pPr>
      <w:r>
        <w:rPr>
          <w:rFonts w:cs="Abz-2 (Badr)" w:hint="cs"/>
          <w:color w:val="0070C0"/>
          <w:sz w:val="28"/>
          <w:szCs w:val="28"/>
          <w:rtl/>
          <w:lang w:bidi="ar"/>
        </w:rPr>
        <w:t>أمّا على القول بكون النفقة للحامل فالمتّجه حينئذٍ وجوبها على مولى العبد أو في كسبه على البحث السابق في نفقة زوجته.»</w:t>
      </w:r>
      <w:r>
        <w:rPr>
          <w:rStyle w:val="FootnoteReference"/>
          <w:rFonts w:cs="Abz-2 (Badr)"/>
          <w:color w:val="000000" w:themeColor="text1"/>
          <w:sz w:val="28"/>
          <w:szCs w:val="28"/>
          <w:rtl/>
          <w:lang w:bidi="ar"/>
        </w:rPr>
        <w:footnoteReference w:id="1"/>
      </w:r>
    </w:p>
    <w:p w14:paraId="4B222C9C" w14:textId="77777777" w:rsidR="00AC18DB" w:rsidRDefault="00AC18DB" w:rsidP="00AC18DB">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 همان گونه که از اين فروع ظاهر می</w:t>
      </w:r>
      <w:r>
        <w:rPr>
          <w:rFonts w:cs="Abz-2 (Badr)" w:hint="cs"/>
          <w:color w:val="000000" w:themeColor="text1"/>
          <w:sz w:val="28"/>
          <w:szCs w:val="28"/>
          <w:rtl/>
          <w:lang w:bidi="fa-IR"/>
        </w:rPr>
        <w:softHyphen/>
        <w:t>شود، آنچه که محل خلاف واقع شده است، اين نيست که بر فرض قبول اختصاص نفقه به حامل، آيا حکم نفقه زوجه بر آن مترتب است يا حکم نفقه اقارب، بلکه نزاع در اين است که نفقه اختصاص به چه کسی دارد.</w:t>
      </w:r>
    </w:p>
    <w:p w14:paraId="791626C6" w14:textId="77777777" w:rsidR="00AC18DB" w:rsidRDefault="00AC18DB" w:rsidP="00AC18D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در خصوص آنچه که صاحب جواهر ادعا کرد مبنی بر اين که اقوی اين است که نفقه مطلقه حامل در حکم نفقه زوجه است، حق اين است که دليلی برای آن وجود ندارد، همان گونه که دليلی برای اين که در حکم نفقه اقارب باشد نيز موجود نيست.</w:t>
      </w:r>
    </w:p>
    <w:p w14:paraId="61DA6C6B" w14:textId="77777777" w:rsidR="00AC18DB" w:rsidRDefault="00AC18DB" w:rsidP="00AC18D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lastRenderedPageBreak/>
        <w:t>بنابر اين چنانچه حکمی از احکام نفقه بر اساس عمومات يا اطلاقات ادله شامل نفقه حامل مطلقه نيز بشود، می</w:t>
      </w:r>
      <w:r>
        <w:rPr>
          <w:rFonts w:cs="Abz-2 (Badr)" w:hint="cs"/>
          <w:color w:val="000000" w:themeColor="text1"/>
          <w:sz w:val="28"/>
          <w:szCs w:val="28"/>
          <w:rtl/>
          <w:lang w:bidi="fa-IR"/>
        </w:rPr>
        <w:softHyphen/>
        <w:t>توان قائل به آن شد، وگرنه بايد در خصوص آن به مقتضای اصل عمل نمود.</w:t>
      </w:r>
    </w:p>
    <w:p w14:paraId="137E33B1" w14:textId="77777777" w:rsidR="00AC18DB" w:rsidRDefault="00AC18DB" w:rsidP="00AC18DB">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 xml:space="preserve">فلذا صاحب جواهر در ادامه کلام خود در اين خصوص فرموده است: </w:t>
      </w:r>
      <w:r>
        <w:rPr>
          <w:rFonts w:cs="Abz-2 (Badr)" w:hint="cs"/>
          <w:color w:val="0070C0"/>
          <w:sz w:val="28"/>
          <w:szCs w:val="28"/>
          <w:rtl/>
          <w:lang w:bidi="fa-IR"/>
        </w:rPr>
        <w:t>«</w:t>
      </w:r>
      <w:r>
        <w:rPr>
          <w:rFonts w:cs="Abz-2 (Badr)" w:hint="cs"/>
          <w:color w:val="0070C0"/>
          <w:sz w:val="28"/>
          <w:szCs w:val="28"/>
          <w:rtl/>
          <w:lang w:bidi="ar"/>
        </w:rPr>
        <w:t>إن أبيت لكان المتّجه ملاحظتها نفقة مستقلّة يثبت لها حكم كلّ منهما إذا كان موافقاً للقواعد العامّة، ضرورة كون المتّجه مراعاة الأُصول والقواعد في هذه النفقة بعد فرض عدم ظهور دليل يقتضي مساواتها لنفقة الزوجة أو القرابة كما هو واضح.»</w:t>
      </w:r>
      <w:r>
        <w:rPr>
          <w:rStyle w:val="FootnoteReference"/>
          <w:rFonts w:cs="Abz-2 (Badr)"/>
          <w:color w:val="000000" w:themeColor="text1"/>
          <w:sz w:val="28"/>
          <w:szCs w:val="28"/>
          <w:rtl/>
          <w:lang w:bidi="ar"/>
        </w:rPr>
        <w:footnoteReference w:id="2"/>
      </w:r>
    </w:p>
    <w:p w14:paraId="6B91D993" w14:textId="77777777" w:rsidR="00AC18DB" w:rsidRDefault="00AC18DB" w:rsidP="00AC18DB">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حکمی که در خصوص مطلقه حامل گذشت، آيا در مورد حاملی که به غير طلاق از زوج جدا شده و يا زنی که به واسطه وطی به شبهه حمل برداشته است نيز جاری است؟</w:t>
      </w:r>
    </w:p>
    <w:p w14:paraId="5554D928" w14:textId="77777777" w:rsidR="00AC18DB" w:rsidRDefault="00AC18DB" w:rsidP="00AC18DB">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ar"/>
        </w:rPr>
        <w:t xml:space="preserve">علامه در قواعد فرموده است: </w:t>
      </w:r>
      <w:r>
        <w:rPr>
          <w:rFonts w:cs="Abz-2 (Badr)" w:hint="cs"/>
          <w:color w:val="0070C0"/>
          <w:sz w:val="28"/>
          <w:szCs w:val="28"/>
          <w:rtl/>
          <w:lang w:bidi="ar"/>
        </w:rPr>
        <w:t>«الفسخ كالطلاق إن حصل بردّته. وإن استند إلى اختيارها أو إلى عيبها قبل الدخول، سقط جميع المهر ـ إلاّ في العنّة ـ والنفقة. وبعده لا يسقط المهر، بل النفقة إن كانت حائلاً أو حاملاً على إشكال، إلا إذا قلنا: النفقة للحمل.</w:t>
      </w:r>
    </w:p>
    <w:p w14:paraId="331BBE01" w14:textId="77777777" w:rsidR="00AC18DB" w:rsidRDefault="00AC18DB" w:rsidP="00AC18DB">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t>وفراق اللعان کالبائن.»</w:t>
      </w:r>
      <w:r>
        <w:rPr>
          <w:rStyle w:val="FootnoteReference"/>
          <w:rFonts w:cs="Abz-2 (Badr)"/>
          <w:color w:val="000000" w:themeColor="text1"/>
          <w:sz w:val="28"/>
          <w:szCs w:val="28"/>
          <w:rtl/>
          <w:lang w:bidi="ar"/>
        </w:rPr>
        <w:footnoteReference w:id="3"/>
      </w:r>
    </w:p>
    <w:p w14:paraId="4A550A79" w14:textId="77777777" w:rsidR="00AC18DB" w:rsidRDefault="00AC18DB" w:rsidP="00AC18D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کاشف اللثام در توضيح وجه اشکالی که در کلام علامه در خصوص سقوط نفقه حامل گذشت،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من إطلاق الآية، ومن الأصل، مع كون الآية في ذيل أحكام المطلّقات. إلاّ إذا قلنا: النفقة للحمل فلا إشكال في ثبوتها. وفراق اللعان كالبائن</w:t>
      </w:r>
      <w:r>
        <w:rPr>
          <w:rFonts w:cs="Abz-2 (Badr)" w:hint="cs"/>
          <w:b/>
          <w:bCs/>
          <w:color w:val="0070C0"/>
          <w:sz w:val="28"/>
          <w:szCs w:val="28"/>
          <w:rtl/>
          <w:lang w:bidi="ar"/>
        </w:rPr>
        <w:t xml:space="preserve">، </w:t>
      </w:r>
      <w:r>
        <w:rPr>
          <w:rFonts w:cs="Abz-2 (Badr)" w:hint="cs"/>
          <w:color w:val="0070C0"/>
          <w:sz w:val="28"/>
          <w:szCs w:val="28"/>
          <w:rtl/>
          <w:lang w:bidi="ar"/>
        </w:rPr>
        <w:t>فلا نفقة لها إن كانت حائلاً أو حاملاً وكان اللعان لنفي الولد وقلنا بكون النفقة للحمل، وإلاّ ففيه الإشكال.»</w:t>
      </w:r>
      <w:r>
        <w:rPr>
          <w:rStyle w:val="FootnoteReference"/>
          <w:rFonts w:cs="Abz-2 (Badr)"/>
          <w:color w:val="000000" w:themeColor="text1"/>
          <w:sz w:val="28"/>
          <w:szCs w:val="28"/>
          <w:rtl/>
          <w:lang w:bidi="ar"/>
        </w:rPr>
        <w:footnoteReference w:id="4"/>
      </w:r>
    </w:p>
    <w:p w14:paraId="3B7FA331" w14:textId="77777777" w:rsidR="00AC18DB" w:rsidRDefault="00AC18DB" w:rsidP="00AC18D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همچنين در قواعد فرموده است: </w:t>
      </w:r>
      <w:r>
        <w:rPr>
          <w:rFonts w:cs="Abz-2 (Badr)" w:hint="cs"/>
          <w:color w:val="0070C0"/>
          <w:sz w:val="28"/>
          <w:szCs w:val="28"/>
          <w:rtl/>
          <w:lang w:bidi="fa-IR"/>
        </w:rPr>
        <w:t>«</w:t>
      </w:r>
      <w:r>
        <w:rPr>
          <w:rFonts w:cs="Abz-2 (Badr)" w:hint="cs"/>
          <w:color w:val="0070C0"/>
          <w:sz w:val="28"/>
          <w:szCs w:val="28"/>
          <w:rtl/>
          <w:lang w:bidi="ar"/>
        </w:rPr>
        <w:t>ولو أنفقت على الولد المنفيّ باللعان ثمّ‌ كذّب نفسه، ففي رجوعها بالنفقة</w:t>
      </w:r>
      <w:r>
        <w:rPr>
          <w:rStyle w:val="FootnoteReference"/>
          <w:rFonts w:cs="Abz-2 (Badr)"/>
          <w:color w:val="000000" w:themeColor="text1"/>
          <w:sz w:val="28"/>
          <w:szCs w:val="28"/>
          <w:rtl/>
          <w:lang w:bidi="ar"/>
        </w:rPr>
        <w:footnoteReference w:id="5"/>
      </w:r>
      <w:r>
        <w:rPr>
          <w:rFonts w:cs="Abz-2 (Badr)" w:hint="cs"/>
          <w:color w:val="0070C0"/>
          <w:sz w:val="28"/>
          <w:szCs w:val="28"/>
          <w:rtl/>
          <w:lang w:bidi="ar"/>
        </w:rPr>
        <w:t xml:space="preserve"> إشكال.»</w:t>
      </w:r>
      <w:r>
        <w:rPr>
          <w:rStyle w:val="FootnoteReference"/>
          <w:rFonts w:cs="Abz-2 (Badr)"/>
          <w:color w:val="000000" w:themeColor="text1"/>
          <w:sz w:val="28"/>
          <w:szCs w:val="28"/>
          <w:rtl/>
          <w:lang w:bidi="ar"/>
        </w:rPr>
        <w:footnoteReference w:id="6"/>
      </w:r>
    </w:p>
    <w:p w14:paraId="2AA46379" w14:textId="77777777" w:rsidR="00AC18DB" w:rsidRDefault="00AC18DB" w:rsidP="00AC18DB">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کاشف اللثام اين مسأله را مبتنی بر اين می</w:t>
      </w:r>
      <w:r>
        <w:rPr>
          <w:rFonts w:cs="Abz-2 (Badr)" w:hint="cs"/>
          <w:color w:val="000000" w:themeColor="text1"/>
          <w:sz w:val="28"/>
          <w:szCs w:val="28"/>
          <w:rtl/>
          <w:lang w:bidi="fa-IR"/>
        </w:rPr>
        <w:softHyphen/>
        <w:t xml:space="preserve">داند که نفقه را مخصوص حمل بدانيم و در توجيه اشکال مذکور در کلام </w:t>
      </w:r>
      <w:r>
        <w:rPr>
          <w:rFonts w:cs="Abz-2 (Badr)" w:hint="cs"/>
          <w:color w:val="000000" w:themeColor="text1"/>
          <w:sz w:val="28"/>
          <w:szCs w:val="28"/>
          <w:rtl/>
          <w:lang w:bidi="fa-IR"/>
        </w:rPr>
        <w:lastRenderedPageBreak/>
        <w:t>علامه در اين فرض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من تسبّبه لحكم الحاكم عليها بالإنفاق، وكون اللعان شهادة بالآية وقد أوجبت النفقة عليها، وإذا كذّب الشاهد نفسه رجع عليه بما غرم لشهادته، ونفي الضرار؛ وهو خيرة المبسوط.</w:t>
      </w:r>
    </w:p>
    <w:p w14:paraId="7F88D62B" w14:textId="77777777" w:rsidR="00AC18DB" w:rsidRDefault="00AC18DB" w:rsidP="00AC18D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ومن أنّ‌ نفقة القريب لا تقضى.»</w:t>
      </w:r>
      <w:r>
        <w:rPr>
          <w:rStyle w:val="FootnoteReference"/>
          <w:rFonts w:cs="Abz-2 (Badr)"/>
          <w:color w:val="000000" w:themeColor="text1"/>
          <w:sz w:val="28"/>
          <w:szCs w:val="28"/>
          <w:rtl/>
          <w:lang w:bidi="ar"/>
        </w:rPr>
        <w:footnoteReference w:id="7"/>
      </w:r>
    </w:p>
    <w:p w14:paraId="3F8D3F2F" w14:textId="77777777" w:rsidR="00AC18DB" w:rsidRDefault="00AC18DB" w:rsidP="00AC18DB">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ادامه بحث را به جلسه آينده واگذار می</w:t>
      </w:r>
      <w:r>
        <w:rPr>
          <w:rFonts w:cs="Abz-2 (Badr)" w:hint="cs"/>
          <w:color w:val="000000" w:themeColor="text1"/>
          <w:sz w:val="28"/>
          <w:szCs w:val="28"/>
          <w:rtl/>
          <w:lang w:bidi="ar"/>
        </w:rPr>
        <w:softHyphen/>
        <w:t>کنيم ان شاء الله.</w:t>
      </w:r>
    </w:p>
    <w:p w14:paraId="28BDC8D0" w14:textId="77777777" w:rsidR="00AC18DB" w:rsidRDefault="00AC18DB" w:rsidP="00AC18DB">
      <w:pPr>
        <w:rPr>
          <w:rFonts w:cs="Abz-2 (Badr)" w:hint="cs"/>
          <w:color w:val="000000" w:themeColor="text1"/>
          <w:sz w:val="28"/>
          <w:szCs w:val="28"/>
          <w:rtl/>
          <w:lang w:bidi="ar"/>
        </w:rPr>
      </w:pPr>
      <w:r>
        <w:rPr>
          <w:rFonts w:cs="Abz-2 (Badr)" w:hint="cs"/>
          <w:color w:val="000000" w:themeColor="text1"/>
          <w:sz w:val="28"/>
          <w:szCs w:val="28"/>
          <w:rtl/>
          <w:lang w:bidi="ar"/>
        </w:rPr>
        <w:br w:type="page"/>
      </w:r>
    </w:p>
    <w:p w14:paraId="13CDAC21" w14:textId="77777777" w:rsidR="00AC18DB" w:rsidRDefault="00AC18DB" w:rsidP="00AC18DB">
      <w:pPr>
        <w:widowControl w:val="0"/>
        <w:bidi/>
        <w:spacing w:after="0" w:line="252" w:lineRule="auto"/>
        <w:ind w:firstLine="284"/>
        <w:jc w:val="both"/>
        <w:rPr>
          <w:rFonts w:cs="Abz-2 (Badr)" w:hint="cs"/>
          <w:color w:val="0070C0"/>
          <w:sz w:val="28"/>
          <w:szCs w:val="28"/>
          <w:rtl/>
          <w:lang w:bidi="ar"/>
        </w:rPr>
      </w:pPr>
      <w:bookmarkStart w:id="1" w:name="_Hlk212634283"/>
      <w:r>
        <w:rPr>
          <w:rFonts w:cs="Abz-2 (Badr)" w:hint="cs"/>
          <w:color w:val="000000" w:themeColor="text1"/>
          <w:sz w:val="28"/>
          <w:szCs w:val="28"/>
          <w:rtl/>
          <w:lang w:bidi="fa-IR"/>
        </w:rPr>
        <w:lastRenderedPageBreak/>
        <w:t xml:space="preserve">قال صاحب الجواهر في توضيح الفرع الثالث الذي تقدّم في کلام الشيخ: </w:t>
      </w:r>
      <w:r>
        <w:rPr>
          <w:rFonts w:cs="Abz-2 (Badr)" w:hint="cs"/>
          <w:color w:val="0070C0"/>
          <w:sz w:val="28"/>
          <w:szCs w:val="28"/>
          <w:rtl/>
          <w:lang w:bidi="fa-IR"/>
        </w:rPr>
        <w:t>«</w:t>
      </w:r>
      <w:r>
        <w:rPr>
          <w:rFonts w:cs="Abz-2 (Badr)" w:hint="cs"/>
          <w:color w:val="0070C0"/>
          <w:sz w:val="28"/>
          <w:szCs w:val="28"/>
          <w:rtl/>
          <w:lang w:bidi="ar"/>
        </w:rPr>
        <w:t>ومنها: في العبد إذا تزوّج أمة أو حرّة وشرط مولاه الانفراد برقّ الولد من الحرّة أو الأمة فأبانها حاملاً، إذ الولد حينئذٍ ملك للمولى، فالنفقة عليه، بل إن لم يشترط الرقّيّة في ولد الحرّة، لم تجب النفقة على الزوج أيضاً، لأنّه رقيق ولا نفقة عليه للقريب ولا على مولاه، وهو ظاهر كظهور اشتراك المؤمنين في النفقة مع عدم اشتراط الانفراد بالولد من الأمة.</w:t>
      </w:r>
    </w:p>
    <w:p w14:paraId="54513C4A" w14:textId="77777777" w:rsidR="00AC18DB" w:rsidRDefault="00AC18DB" w:rsidP="00AC18DB">
      <w:pPr>
        <w:widowControl w:val="0"/>
        <w:bidi/>
        <w:spacing w:after="0" w:line="252" w:lineRule="auto"/>
        <w:ind w:firstLine="284"/>
        <w:jc w:val="both"/>
        <w:rPr>
          <w:rFonts w:cs="Abz-2 (Badr)" w:hint="cs"/>
          <w:color w:val="0070C0"/>
          <w:sz w:val="28"/>
          <w:szCs w:val="28"/>
          <w:rtl/>
          <w:lang w:bidi="ar"/>
        </w:rPr>
      </w:pPr>
      <w:r>
        <w:rPr>
          <w:rFonts w:cs="Abz-2 (Badr)" w:hint="cs"/>
          <w:color w:val="0070C0"/>
          <w:sz w:val="28"/>
          <w:szCs w:val="28"/>
          <w:rtl/>
          <w:lang w:bidi="ar"/>
        </w:rPr>
        <w:t>وبالجملة: لا نفقة على الزوج الرقيق للحمل، حرّاً كان أم رقّاً، مشتركاً أو مختصّاً، فذكر المصنّف وغيره شرط الانفراد لعلّه لدفع ما قد يتوّهم من أنّه مع اشتراطه تكون نفقته عليه من كسبه كنفقة زوجته.</w:t>
      </w:r>
    </w:p>
    <w:p w14:paraId="4B82B59A" w14:textId="77777777" w:rsidR="00AC18DB" w:rsidRDefault="00AC18DB" w:rsidP="00AC18DB">
      <w:pPr>
        <w:widowControl w:val="0"/>
        <w:bidi/>
        <w:spacing w:after="0" w:line="252" w:lineRule="auto"/>
        <w:ind w:firstLine="284"/>
        <w:jc w:val="both"/>
        <w:rPr>
          <w:rFonts w:cs="Abz-2 (Badr)" w:hint="cs"/>
          <w:color w:val="0070C0"/>
          <w:sz w:val="28"/>
          <w:szCs w:val="28"/>
          <w:rtl/>
          <w:lang w:bidi="ar"/>
        </w:rPr>
      </w:pPr>
      <w:r>
        <w:rPr>
          <w:rFonts w:cs="Abz-2 (Badr)" w:hint="cs"/>
          <w:color w:val="0070C0"/>
          <w:sz w:val="28"/>
          <w:szCs w:val="28"/>
          <w:rtl/>
          <w:lang w:bidi="ar"/>
        </w:rPr>
        <w:t>أمّا على القول بكون النفقة للحامل فالمتّجه حينئذٍ وجوبها على مولى العبد أو في كسبه على البحث السابق في نفقة زوجته.»</w:t>
      </w:r>
      <w:r>
        <w:rPr>
          <w:rStyle w:val="FootnoteReference"/>
          <w:rFonts w:cs="Abz-2 (Badr)"/>
          <w:color w:val="000000" w:themeColor="text1"/>
          <w:sz w:val="28"/>
          <w:szCs w:val="28"/>
          <w:rtl/>
          <w:lang w:bidi="ar"/>
        </w:rPr>
        <w:footnoteReference w:id="8"/>
      </w:r>
    </w:p>
    <w:p w14:paraId="707DC32A" w14:textId="77777777" w:rsidR="00AC18DB" w:rsidRDefault="00AC18DB" w:rsidP="00AC18DB">
      <w:pPr>
        <w:widowControl w:val="0"/>
        <w:bidi/>
        <w:spacing w:after="0"/>
        <w:ind w:firstLine="284"/>
        <w:jc w:val="both"/>
        <w:rPr>
          <w:rFonts w:cs="Abz-2 (Badr)" w:hint="cs"/>
          <w:color w:val="000000" w:themeColor="text1"/>
          <w:sz w:val="28"/>
          <w:szCs w:val="28"/>
          <w:rtl/>
          <w:lang w:bidi="fa-IR"/>
        </w:rPr>
      </w:pPr>
      <w:r>
        <w:rPr>
          <w:rFonts w:cs="Abz-2 (Badr)" w:hint="cs"/>
          <w:b/>
          <w:bCs/>
          <w:color w:val="000000" w:themeColor="text1"/>
          <w:sz w:val="28"/>
          <w:szCs w:val="28"/>
          <w:rtl/>
        </w:rPr>
        <w:t>أقول:</w:t>
      </w:r>
      <w:r>
        <w:rPr>
          <w:rFonts w:cs="Abz-2 (Badr)" w:hint="cs"/>
          <w:color w:val="000000" w:themeColor="text1"/>
          <w:sz w:val="28"/>
          <w:szCs w:val="28"/>
          <w:rtl/>
        </w:rPr>
        <w:t xml:space="preserve"> يظهر من هذه الفروع أنّ محلّ الخلاف بين الأصحاب ليس في أنّه هل يجري علی النفقة المدفوعة إلی الحامل حكم نفقة الزوجة أو حكم نفقة الأقارب، بل إنّ مورد النزاع هو تعيين من تختصّ به النفقة.</w:t>
      </w:r>
    </w:p>
    <w:p w14:paraId="23B50384" w14:textId="77777777" w:rsidR="00AC18DB" w:rsidRDefault="00AC18DB" w:rsidP="00AC18DB">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وأمّا ما ادّعاه صاحب الجواهر من أنّ الأقوى كون هذه النفقة في حكم نفقة الزوجة، فالصحيح أنّه لا دليل عليه، كما لا دليل أيضاً على كونها في حكم نفقة الأقارب.</w:t>
      </w:r>
    </w:p>
    <w:p w14:paraId="7254B019" w14:textId="77777777" w:rsidR="00AC18DB" w:rsidRDefault="00AC18DB" w:rsidP="00AC18DB">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وعليه فكلّ حكم من أحكام النفقة ثبت شموله ـ بحسب عمومات أو إطلاقات الأدلّة ـ لنفقة المطلّقة الحامل، يلتزم به، وإلا فالمتعيّن فيه الرجوع إلى مقتضى الأصل العملي.</w:t>
      </w:r>
    </w:p>
    <w:p w14:paraId="35F4A46C" w14:textId="77777777" w:rsidR="00AC18DB" w:rsidRDefault="00AC18DB" w:rsidP="00AC18DB">
      <w:pPr>
        <w:widowControl w:val="0"/>
        <w:bidi/>
        <w:spacing w:after="0"/>
        <w:ind w:firstLine="284"/>
        <w:jc w:val="both"/>
        <w:rPr>
          <w:rFonts w:cs="Abz-2 (Badr)"/>
          <w:color w:val="0070C0"/>
          <w:sz w:val="28"/>
          <w:szCs w:val="28"/>
          <w:lang w:bidi="ar"/>
        </w:rPr>
      </w:pPr>
      <w:r>
        <w:rPr>
          <w:rFonts w:cs="Abz-2 (Badr)" w:hint="cs"/>
          <w:color w:val="000000" w:themeColor="text1"/>
          <w:sz w:val="28"/>
          <w:szCs w:val="28"/>
          <w:rtl/>
        </w:rPr>
        <w:t>فلذا قال صاحب الجواهر في تتمّة كلامه في هذا المقام</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إن أبيت لكان المتّجه ملاحظتها نفقة مستقلّة يثبت لها حكم كلّ منهما إذا كان موافقاً للقواعد العامّة، ضرورة كون المتّجه مراعاة الأُصول والقواعد في هذه النفقة بعد فرض عدم ظهور دليل يقتضي مساواتها لنفقة الزوجة أو القرابة كما هو واضح.»</w:t>
      </w:r>
      <w:r>
        <w:rPr>
          <w:rStyle w:val="FootnoteReference"/>
          <w:rFonts w:cs="Abz-2 (Badr)"/>
          <w:color w:val="000000" w:themeColor="text1"/>
          <w:sz w:val="28"/>
          <w:szCs w:val="28"/>
          <w:rtl/>
          <w:lang w:bidi="ar"/>
        </w:rPr>
        <w:footnoteReference w:id="9"/>
      </w:r>
    </w:p>
    <w:p w14:paraId="05548819" w14:textId="77777777" w:rsidR="00AC18DB" w:rsidRDefault="00AC18DB" w:rsidP="00AC18DB">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 xml:space="preserve">ثمّ إنّه هل يجري حكم وجوب دفع النفقة إلى الحامل التي بانت من زوجها بغير طلاق أو التي حملت من‌ وطء شبهة </w:t>
      </w:r>
      <w:r>
        <w:rPr>
          <w:rFonts w:cs="Abz-2 (Badr)" w:hint="cs"/>
          <w:color w:val="000000" w:themeColor="text1"/>
          <w:sz w:val="28"/>
          <w:szCs w:val="28"/>
          <w:rtl/>
        </w:rPr>
        <w:lastRenderedPageBreak/>
        <w:t>أيضاً؟</w:t>
      </w:r>
    </w:p>
    <w:p w14:paraId="16F5D7CA" w14:textId="77777777" w:rsidR="00AC18DB" w:rsidRDefault="00AC18DB" w:rsidP="00AC18DB">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ar"/>
        </w:rPr>
        <w:t xml:space="preserve">قال العلامة في القواعد: </w:t>
      </w:r>
      <w:r>
        <w:rPr>
          <w:rFonts w:cs="Abz-2 (Badr)" w:hint="cs"/>
          <w:color w:val="0070C0"/>
          <w:sz w:val="28"/>
          <w:szCs w:val="28"/>
          <w:rtl/>
          <w:lang w:bidi="ar"/>
        </w:rPr>
        <w:t>«الفسخ كالطلاق إن حصل بردّته. وإن استند إلى اختيارها أو إلى عيبها قبل الدخول، سقط جميع المهر ـ إلاّ في العنّة ـ والنفقة. وبعده لا يسقط المهر، بل النفقة إن كانت حائلاً أو حاملاً على إشكال، إلا إذا قلنا: النفقة للحمل.</w:t>
      </w:r>
    </w:p>
    <w:p w14:paraId="70641667" w14:textId="77777777" w:rsidR="00AC18DB" w:rsidRDefault="00AC18DB" w:rsidP="00AC18DB">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t>وفراق اللعان کالبائن.»</w:t>
      </w:r>
      <w:r>
        <w:rPr>
          <w:rStyle w:val="FootnoteReference"/>
          <w:rFonts w:cs="Abz-2 (Badr)"/>
          <w:color w:val="000000" w:themeColor="text1"/>
          <w:sz w:val="28"/>
          <w:szCs w:val="28"/>
          <w:rtl/>
          <w:lang w:bidi="ar"/>
        </w:rPr>
        <w:footnoteReference w:id="10"/>
      </w:r>
    </w:p>
    <w:p w14:paraId="4ABC6C32" w14:textId="77777777" w:rsidR="00AC18DB" w:rsidRDefault="00AC18DB" w:rsidP="00AC18D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وقال کاشف اللثام في توضيح وجه الإشکال الذي تقدّم في کلام العلامة في خصوص سقوط نفقة الحامل ما نصّه: </w:t>
      </w:r>
      <w:r>
        <w:rPr>
          <w:rFonts w:cs="Abz-2 (Badr)" w:hint="cs"/>
          <w:color w:val="0070C0"/>
          <w:sz w:val="28"/>
          <w:szCs w:val="28"/>
          <w:rtl/>
          <w:lang w:bidi="fa-IR"/>
        </w:rPr>
        <w:t>«</w:t>
      </w:r>
      <w:r>
        <w:rPr>
          <w:rFonts w:cs="Abz-2 (Badr)" w:hint="cs"/>
          <w:color w:val="0070C0"/>
          <w:sz w:val="28"/>
          <w:szCs w:val="28"/>
          <w:rtl/>
          <w:lang w:bidi="ar"/>
        </w:rPr>
        <w:t>من إطلاق الآية، ومن الأصل، مع كون الآية في ذيل أحكام المطلّقات. إلاّ إذا قلنا: النفقة للحمل فلا إشكال في ثبوتها. وفراق اللعان كالبائن</w:t>
      </w:r>
      <w:r>
        <w:rPr>
          <w:rFonts w:cs="Abz-2 (Badr)" w:hint="cs"/>
          <w:b/>
          <w:bCs/>
          <w:color w:val="0070C0"/>
          <w:sz w:val="28"/>
          <w:szCs w:val="28"/>
          <w:rtl/>
          <w:lang w:bidi="ar"/>
        </w:rPr>
        <w:t xml:space="preserve">، </w:t>
      </w:r>
      <w:r>
        <w:rPr>
          <w:rFonts w:cs="Abz-2 (Badr)" w:hint="cs"/>
          <w:color w:val="0070C0"/>
          <w:sz w:val="28"/>
          <w:szCs w:val="28"/>
          <w:rtl/>
          <w:lang w:bidi="ar"/>
        </w:rPr>
        <w:t>فلا نفقة لها إن كانت حائلاً أو حاملاً وكان اللعان لنفي الولد وقلنا بكون النفقة للحمل، وإلاّ ففيه الإشكال.»</w:t>
      </w:r>
      <w:r>
        <w:rPr>
          <w:rStyle w:val="FootnoteReference"/>
          <w:rFonts w:cs="Abz-2 (Badr)"/>
          <w:color w:val="000000" w:themeColor="text1"/>
          <w:sz w:val="28"/>
          <w:szCs w:val="28"/>
          <w:rtl/>
          <w:lang w:bidi="ar"/>
        </w:rPr>
        <w:footnoteReference w:id="11"/>
      </w:r>
    </w:p>
    <w:p w14:paraId="398FA0E4" w14:textId="77777777" w:rsidR="00AC18DB" w:rsidRDefault="00AC18DB" w:rsidP="00AC18D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وکذل</w:t>
      </w:r>
      <w:r>
        <w:rPr>
          <w:rFonts w:cs="Abz-2 (Badr)" w:hint="cs"/>
          <w:color w:val="000000" w:themeColor="text1"/>
          <w:sz w:val="28"/>
          <w:szCs w:val="28"/>
          <w:rtl/>
        </w:rPr>
        <w:t>ك</w:t>
      </w:r>
      <w:r>
        <w:rPr>
          <w:rFonts w:cs="Abz-2 (Badr)" w:hint="cs"/>
          <w:color w:val="000000" w:themeColor="text1"/>
          <w:sz w:val="28"/>
          <w:szCs w:val="28"/>
          <w:rtl/>
          <w:lang w:bidi="fa-IR"/>
        </w:rPr>
        <w:t xml:space="preserve"> قال في القواعد: </w:t>
      </w:r>
      <w:r>
        <w:rPr>
          <w:rFonts w:cs="Abz-2 (Badr)" w:hint="cs"/>
          <w:color w:val="0070C0"/>
          <w:sz w:val="28"/>
          <w:szCs w:val="28"/>
          <w:rtl/>
          <w:lang w:bidi="fa-IR"/>
        </w:rPr>
        <w:t>«</w:t>
      </w:r>
      <w:r>
        <w:rPr>
          <w:rFonts w:cs="Abz-2 (Badr)" w:hint="cs"/>
          <w:color w:val="0070C0"/>
          <w:sz w:val="28"/>
          <w:szCs w:val="28"/>
          <w:rtl/>
          <w:lang w:bidi="ar"/>
        </w:rPr>
        <w:t>ولو أنفقت على الولد المنفيّ باللعان ثمّ‌ كذّب نفسه، ففي رجوعها بالنفقة</w:t>
      </w:r>
      <w:r>
        <w:rPr>
          <w:rStyle w:val="FootnoteReference"/>
          <w:rFonts w:cs="Abz-2 (Badr)"/>
          <w:color w:val="000000" w:themeColor="text1"/>
          <w:sz w:val="28"/>
          <w:szCs w:val="28"/>
          <w:rtl/>
          <w:lang w:bidi="ar"/>
        </w:rPr>
        <w:footnoteReference w:id="12"/>
      </w:r>
      <w:r>
        <w:rPr>
          <w:rFonts w:cs="Abz-2 (Badr)" w:hint="cs"/>
          <w:color w:val="0070C0"/>
          <w:sz w:val="28"/>
          <w:szCs w:val="28"/>
          <w:rtl/>
          <w:lang w:bidi="ar"/>
        </w:rPr>
        <w:t xml:space="preserve"> إشكال.»</w:t>
      </w:r>
      <w:r>
        <w:rPr>
          <w:rStyle w:val="FootnoteReference"/>
          <w:rFonts w:cs="Abz-2 (Badr)"/>
          <w:color w:val="000000" w:themeColor="text1"/>
          <w:sz w:val="28"/>
          <w:szCs w:val="28"/>
          <w:rtl/>
          <w:lang w:bidi="ar"/>
        </w:rPr>
        <w:footnoteReference w:id="13"/>
      </w:r>
    </w:p>
    <w:p w14:paraId="561C25CA" w14:textId="77777777" w:rsidR="00AC18DB" w:rsidRDefault="00AC18DB" w:rsidP="00AC18DB">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rPr>
        <w:t>وخصّ كاشف اللثام كلام العلامة بما إذا قيل باختصاص النفقة بالحمل، وذكر في مقام توجيه الإشكال الذي أشار إليه العلامة في کلامه</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من تسبّبه لحكم الحاكم عليها بالإنفاق، وكون اللعان شهادة بالآية وقد أوجبت النفقة عليها، وإذا كذّب الشاهد نفسه رجع عليه بما غرم لشهادته، ونفي الضرار؛ وهو خيرة المبسوط.</w:t>
      </w:r>
    </w:p>
    <w:p w14:paraId="10E2A3DB" w14:textId="77777777" w:rsidR="00AC18DB" w:rsidRDefault="00AC18DB" w:rsidP="00AC18D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ومن أنّ‌ نفقة القريب لا تقضى.»</w:t>
      </w:r>
      <w:r>
        <w:rPr>
          <w:rStyle w:val="FootnoteReference"/>
          <w:rFonts w:cs="Abz-2 (Badr)"/>
          <w:color w:val="000000" w:themeColor="text1"/>
          <w:sz w:val="28"/>
          <w:szCs w:val="28"/>
          <w:rtl/>
          <w:lang w:bidi="ar"/>
        </w:rPr>
        <w:footnoteReference w:id="14"/>
      </w:r>
    </w:p>
    <w:bookmarkEnd w:id="1"/>
    <w:p w14:paraId="61B4CA7E" w14:textId="77777777" w:rsidR="00AC18DB" w:rsidRDefault="00AC18DB" w:rsidP="00AC18DB">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ونوكل استكمال البحث إلى الجلسة القادمة إن شاء الله تعالى</w:t>
      </w:r>
      <w:r>
        <w:rPr>
          <w:rFonts w:cs="Abz-2 (Badr)" w:hint="cs"/>
          <w:color w:val="000000" w:themeColor="text1"/>
          <w:sz w:val="28"/>
          <w:szCs w:val="28"/>
          <w:rtl/>
          <w:lang w:bidi="ar"/>
        </w:rPr>
        <w:t>.</w:t>
      </w:r>
    </w:p>
    <w:p w14:paraId="6FC93DFB" w14:textId="77777777" w:rsidR="00AC18DB" w:rsidRDefault="00AC18DB" w:rsidP="00AC18DB">
      <w:pPr>
        <w:widowControl w:val="0"/>
        <w:bidi/>
        <w:spacing w:after="0"/>
        <w:ind w:firstLine="284"/>
        <w:jc w:val="both"/>
        <w:rPr>
          <w:rFonts w:cs="Abz-2 (Badr)" w:hint="cs"/>
          <w:color w:val="000000" w:themeColor="text1"/>
          <w:sz w:val="28"/>
          <w:szCs w:val="28"/>
          <w:rtl/>
          <w:lang w:bidi="ar"/>
        </w:rPr>
      </w:pPr>
    </w:p>
    <w:p w14:paraId="165BA9D7" w14:textId="77777777" w:rsidR="00AC18DB" w:rsidRDefault="00AC18DB" w:rsidP="00AC18DB">
      <w:pPr>
        <w:widowControl w:val="0"/>
        <w:bidi/>
        <w:spacing w:after="0"/>
        <w:ind w:firstLine="284"/>
        <w:jc w:val="both"/>
        <w:rPr>
          <w:rFonts w:cs="Abz-2 (Badr)" w:hint="cs"/>
          <w:color w:val="000000" w:themeColor="text1"/>
          <w:sz w:val="28"/>
          <w:szCs w:val="28"/>
          <w:rtl/>
          <w:lang w:bidi="fa-IR"/>
        </w:rPr>
      </w:pPr>
    </w:p>
    <w:p w14:paraId="2AD04477" w14:textId="7D63A4A4" w:rsidR="00B706A3" w:rsidRPr="00AC18DB" w:rsidRDefault="00B706A3" w:rsidP="00AC18DB">
      <w:pPr>
        <w:rPr>
          <w:rtl/>
        </w:rPr>
      </w:pPr>
    </w:p>
    <w:sectPr w:rsidR="00B706A3" w:rsidRPr="00AC18DB"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0ABAF" w14:textId="77777777" w:rsidR="00D668F4" w:rsidRDefault="00D668F4" w:rsidP="00F71127">
      <w:pPr>
        <w:spacing w:after="0" w:line="240" w:lineRule="auto"/>
      </w:pPr>
      <w:r>
        <w:separator/>
      </w:r>
    </w:p>
  </w:endnote>
  <w:endnote w:type="continuationSeparator" w:id="0">
    <w:p w14:paraId="3FE449D6" w14:textId="77777777" w:rsidR="00D668F4" w:rsidRDefault="00D668F4"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030C" w14:textId="77777777" w:rsidR="001214F5" w:rsidRDefault="00121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EC88" w14:textId="77777777" w:rsidR="001214F5" w:rsidRDefault="00121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6AF09" w14:textId="77777777" w:rsidR="00D668F4" w:rsidRDefault="00D668F4" w:rsidP="00EE25C0">
      <w:pPr>
        <w:bidi/>
        <w:spacing w:after="0" w:line="240" w:lineRule="auto"/>
      </w:pPr>
      <w:r>
        <w:separator/>
      </w:r>
    </w:p>
  </w:footnote>
  <w:footnote w:type="continuationSeparator" w:id="0">
    <w:p w14:paraId="704BE55F" w14:textId="77777777" w:rsidR="00D668F4" w:rsidRDefault="00D668F4" w:rsidP="00F71127">
      <w:pPr>
        <w:bidi/>
        <w:spacing w:after="0" w:line="240" w:lineRule="auto"/>
      </w:pPr>
      <w:r>
        <w:continuationSeparator/>
      </w:r>
    </w:p>
  </w:footnote>
  <w:footnote w:id="1">
    <w:p w14:paraId="558F670F" w14:textId="77777777" w:rsidR="00AC18DB" w:rsidRDefault="00AC18DB" w:rsidP="00AC18D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الکلام،ج31،ص321 و 322.</w:t>
      </w:r>
    </w:p>
  </w:footnote>
  <w:footnote w:id="2">
    <w:p w14:paraId="79718F00" w14:textId="77777777" w:rsidR="00AC18DB" w:rsidRDefault="00AC18DB" w:rsidP="00AC18D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همان،ص324.</w:t>
      </w:r>
    </w:p>
  </w:footnote>
  <w:footnote w:id="3">
    <w:p w14:paraId="1487EA10" w14:textId="77777777" w:rsidR="00AC18DB" w:rsidRDefault="00AC18DB" w:rsidP="00AC18D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قواعد الأحکام،ج3،ص109.</w:t>
      </w:r>
    </w:p>
  </w:footnote>
  <w:footnote w:id="4">
    <w:p w14:paraId="3D2B336A" w14:textId="77777777" w:rsidR="00AC18DB" w:rsidRDefault="00AC18DB" w:rsidP="00AC18D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کشف اللثام،ج7،ص581.</w:t>
      </w:r>
    </w:p>
  </w:footnote>
  <w:footnote w:id="5">
    <w:p w14:paraId="3D604DEA" w14:textId="77777777" w:rsidR="00AC18DB" w:rsidRDefault="00AC18DB" w:rsidP="00AC18DB">
      <w:pPr>
        <w:pStyle w:val="FootnoteText"/>
        <w:bidi/>
        <w:rPr>
          <w:rFonts w:cs="Abz-2 (Badr)" w:hint="cs"/>
          <w:rtl/>
          <w:lang w:bidi="fa-IR"/>
        </w:rPr>
      </w:pPr>
      <w:r>
        <w:rPr>
          <w:rStyle w:val="FootnoteReference"/>
          <w:rFonts w:cs="Abz-2 (Badr)"/>
        </w:rPr>
        <w:footnoteRef/>
      </w:r>
      <w:r>
        <w:rPr>
          <w:rFonts w:cs="Abz-2 (Badr)" w:hint="cs"/>
          <w:rtl/>
        </w:rPr>
        <w:t xml:space="preserve"> ـ يعنی: رجوع حامل به پدرِ </w:t>
      </w:r>
      <w:r>
        <w:rPr>
          <w:rFonts w:cs="Abz-2 (Badr)" w:hint="cs"/>
          <w:rtl/>
          <w:lang w:bidi="fa-IR"/>
        </w:rPr>
        <w:t>حمل برای دريافت نفقاتی که تا قبل از رجوع پدر از ادعای سابق خود، توسط حامل برای حمل خرج شده است.</w:t>
      </w:r>
    </w:p>
  </w:footnote>
  <w:footnote w:id="6">
    <w:p w14:paraId="3299CCC5" w14:textId="77777777" w:rsidR="00AC18DB" w:rsidRDefault="00AC18DB" w:rsidP="00AC18D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قواعد الأحکام،ج3،ص109 و 110.</w:t>
      </w:r>
    </w:p>
  </w:footnote>
  <w:footnote w:id="7">
    <w:p w14:paraId="51517556" w14:textId="77777777" w:rsidR="00AC18DB" w:rsidRDefault="00AC18DB" w:rsidP="00AC18D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کشف اللثام،همان.</w:t>
      </w:r>
    </w:p>
  </w:footnote>
  <w:footnote w:id="8">
    <w:p w14:paraId="3D0F40EE" w14:textId="77777777" w:rsidR="00AC18DB" w:rsidRDefault="00AC18DB" w:rsidP="00AC18D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الکلام،ج31،ص321 و 322.</w:t>
      </w:r>
    </w:p>
  </w:footnote>
  <w:footnote w:id="9">
    <w:p w14:paraId="0D3AB864" w14:textId="77777777" w:rsidR="00AC18DB" w:rsidRDefault="00AC18DB" w:rsidP="00AC18D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المصدر نفسه،ص324.</w:t>
      </w:r>
    </w:p>
  </w:footnote>
  <w:footnote w:id="10">
    <w:p w14:paraId="20C08436" w14:textId="77777777" w:rsidR="00AC18DB" w:rsidRDefault="00AC18DB" w:rsidP="00AC18D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قواعد الأحکام،ج3،ص109.</w:t>
      </w:r>
    </w:p>
  </w:footnote>
  <w:footnote w:id="11">
    <w:p w14:paraId="149CC1B8" w14:textId="77777777" w:rsidR="00AC18DB" w:rsidRDefault="00AC18DB" w:rsidP="00AC18D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کشف اللثام،ج7،ص581.</w:t>
      </w:r>
    </w:p>
  </w:footnote>
  <w:footnote w:id="12">
    <w:p w14:paraId="5CC068DD" w14:textId="77777777" w:rsidR="00AC18DB" w:rsidRDefault="00AC18DB" w:rsidP="00AC18DB">
      <w:pPr>
        <w:pStyle w:val="FootnoteText"/>
        <w:bidi/>
        <w:rPr>
          <w:rFonts w:cs="Abz-2 (Badr)" w:hint="cs"/>
          <w:rtl/>
          <w:lang w:bidi="fa-IR"/>
        </w:rPr>
      </w:pPr>
      <w:r>
        <w:rPr>
          <w:rStyle w:val="FootnoteReference"/>
          <w:rFonts w:cs="Abz-2 (Badr)"/>
        </w:rPr>
        <w:footnoteRef/>
      </w:r>
      <w:r>
        <w:rPr>
          <w:rFonts w:cs="Abz-2 (Badr)" w:hint="cs"/>
          <w:rtl/>
        </w:rPr>
        <w:t xml:space="preserve"> ـ أي: رجوع الحامل إلی والد ال</w:t>
      </w:r>
      <w:r>
        <w:rPr>
          <w:rFonts w:cs="Abz-2 (Badr)" w:hint="cs"/>
          <w:rtl/>
          <w:lang w:bidi="fa-IR"/>
        </w:rPr>
        <w:t>حمل لأخذ النفقات التي صرفتها عليه قبل أن يکذّب الوالد نفسه في دعوی نفي الولد.</w:t>
      </w:r>
    </w:p>
  </w:footnote>
  <w:footnote w:id="13">
    <w:p w14:paraId="5C83C8E4" w14:textId="77777777" w:rsidR="00AC18DB" w:rsidRDefault="00AC18DB" w:rsidP="00AC18D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قواعد الأحکام،ج3،ص109 و 110.</w:t>
      </w:r>
    </w:p>
  </w:footnote>
  <w:footnote w:id="14">
    <w:p w14:paraId="46BEAE2A" w14:textId="77777777" w:rsidR="00AC18DB" w:rsidRDefault="00AC18DB" w:rsidP="00AC18D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کشف اللثام، المصدر السابق.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2A10" w14:textId="77777777" w:rsidR="001214F5" w:rsidRDefault="001214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2200D543"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AC18DB">
                            <w:rPr>
                              <w:rFonts w:cs="B Mehr" w:hint="cs"/>
                              <w:rtl/>
                              <w:lang w:bidi="fa-IR"/>
                            </w:rPr>
                            <w:t>چهار</w:t>
                          </w:r>
                          <w:r w:rsidR="001214F5">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AC18DB">
                            <w:rPr>
                              <w:rFonts w:cs="B Mehr" w:hint="cs"/>
                              <w:rtl/>
                              <w:lang w:bidi="fa-IR"/>
                            </w:rPr>
                            <w:t>7</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2200D543"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AC18DB">
                      <w:rPr>
                        <w:rFonts w:cs="B Mehr" w:hint="cs"/>
                        <w:rtl/>
                        <w:lang w:bidi="fa-IR"/>
                      </w:rPr>
                      <w:t>چهار</w:t>
                    </w:r>
                    <w:r w:rsidR="001214F5">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AC18DB">
                      <w:rPr>
                        <w:rFonts w:cs="B Mehr" w:hint="cs"/>
                        <w:rtl/>
                        <w:lang w:bidi="fa-IR"/>
                      </w:rPr>
                      <w:t>7</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B065F" w14:textId="77777777" w:rsidR="001214F5" w:rsidRDefault="001214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21729</TotalTime>
  <Pages>1</Pages>
  <Words>839</Words>
  <Characters>4786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646</cp:revision>
  <cp:lastPrinted>2025-04-14T09:12:00Z</cp:lastPrinted>
  <dcterms:created xsi:type="dcterms:W3CDTF">2022-10-16T08:36:00Z</dcterms:created>
  <dcterms:modified xsi:type="dcterms:W3CDTF">2025-10-29T15:30:00Z</dcterms:modified>
</cp:coreProperties>
</file>