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1E4F4" w14:textId="77777777" w:rsidR="00123FCE" w:rsidRDefault="00123FCE" w:rsidP="00123FCE">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58291B1D" w14:textId="77777777" w:rsidR="00123FCE" w:rsidRDefault="00123FCE" w:rsidP="00123FCE">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3C020366" w14:textId="77777777" w:rsidR="00123FCE" w:rsidRDefault="00123FCE" w:rsidP="00123FCE">
      <w:pPr>
        <w:widowControl w:val="0"/>
        <w:bidi/>
        <w:spacing w:after="0"/>
        <w:jc w:val="center"/>
        <w:rPr>
          <w:rFonts w:cs="B Mitra" w:hint="cs"/>
          <w:b/>
          <w:bCs/>
          <w:sz w:val="32"/>
          <w:szCs w:val="32"/>
          <w:rtl/>
          <w:lang w:bidi="fa-IR"/>
        </w:rPr>
      </w:pPr>
      <w:r>
        <w:rPr>
          <w:rFonts w:cs="B Mitra" w:hint="cs"/>
          <w:b/>
          <w:bCs/>
          <w:sz w:val="32"/>
          <w:szCs w:val="32"/>
          <w:rtl/>
          <w:lang w:bidi="fa-IR"/>
        </w:rPr>
        <w:t>جلسه 860</w:t>
      </w:r>
    </w:p>
    <w:p w14:paraId="34492E0E" w14:textId="77777777" w:rsidR="00123FCE" w:rsidRDefault="00123FCE" w:rsidP="00123FCE">
      <w:pPr>
        <w:widowControl w:val="0"/>
        <w:bidi/>
        <w:spacing w:after="0"/>
        <w:ind w:firstLine="284"/>
        <w:jc w:val="both"/>
        <w:rPr>
          <w:rFonts w:cs="Abz-2 (Badr)" w:hint="cs"/>
          <w:sz w:val="28"/>
          <w:szCs w:val="28"/>
          <w:rtl/>
          <w:lang w:bidi="fa-IR"/>
        </w:rPr>
      </w:pPr>
      <w:bookmarkStart w:id="0" w:name="_Hlk159096966"/>
    </w:p>
    <w:bookmarkEnd w:id="0"/>
    <w:p w14:paraId="7678AC4B" w14:textId="77777777" w:rsidR="00123FCE" w:rsidRDefault="00123FCE" w:rsidP="00123FCE">
      <w:pPr>
        <w:widowControl w:val="0"/>
        <w:bidi/>
        <w:spacing w:after="0" w:line="264"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بحث در اين موضوع بود که نفقه</w:t>
      </w:r>
      <w:r>
        <w:rPr>
          <w:rFonts w:cs="Abz-2 (Badr)" w:hint="cs"/>
          <w:color w:val="000000" w:themeColor="text1"/>
          <w:spacing w:val="-6"/>
          <w:sz w:val="28"/>
          <w:szCs w:val="28"/>
          <w:rtl/>
          <w:lang w:bidi="fa-IR"/>
        </w:rPr>
        <w:softHyphen/>
        <w:t>ای که به مظلقه حامل داده می</w:t>
      </w:r>
      <w:r>
        <w:rPr>
          <w:rFonts w:cs="Abz-2 (Badr)" w:hint="cs"/>
          <w:color w:val="000000" w:themeColor="text1"/>
          <w:spacing w:val="-6"/>
          <w:sz w:val="28"/>
          <w:szCs w:val="28"/>
          <w:rtl/>
          <w:lang w:bidi="fa-IR"/>
        </w:rPr>
        <w:softHyphen/>
        <w:t>شود، آيا اختصاص به حامل دارد يا مخصوص حمل است؟</w:t>
      </w:r>
    </w:p>
    <w:p w14:paraId="0E76B7F4" w14:textId="77777777" w:rsidR="00123FCE" w:rsidRDefault="00123FCE" w:rsidP="00123FCE">
      <w:pPr>
        <w:widowControl w:val="0"/>
        <w:bidi/>
        <w:spacing w:after="0" w:line="264" w:lineRule="auto"/>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در نقل کلام شيخ در تبيان گذشت که ظاهر کلام ايشان در تفسير آيه شريفه اين است که نفقه اختصاص به زوجه دارد.</w:t>
      </w:r>
    </w:p>
    <w:p w14:paraId="7B7BC51B" w14:textId="77777777" w:rsidR="00123FCE" w:rsidRDefault="00123FCE" w:rsidP="00123FCE">
      <w:pPr>
        <w:widowControl w:val="0"/>
        <w:bidi/>
        <w:spacing w:after="0" w:line="264" w:lineRule="auto"/>
        <w:ind w:firstLine="284"/>
        <w:jc w:val="both"/>
        <w:rPr>
          <w:rFonts w:cs="Abz-2 (Badr)" w:hint="cs"/>
          <w:color w:val="0070C0"/>
          <w:sz w:val="28"/>
          <w:szCs w:val="28"/>
          <w:rtl/>
          <w:lang w:bidi="fa-IR"/>
        </w:rPr>
      </w:pPr>
      <w:r>
        <w:rPr>
          <w:rFonts w:cs="Abz-2 (Badr)" w:hint="cs"/>
          <w:color w:val="000000" w:themeColor="text1"/>
          <w:sz w:val="28"/>
          <w:szCs w:val="28"/>
          <w:rtl/>
          <w:lang w:bidi="fa-IR"/>
        </w:rPr>
        <w:t>اما در مبسوط فرموده</w:t>
      </w:r>
      <w:r>
        <w:rPr>
          <w:rFonts w:cs="Abz-2 (Badr)" w:hint="cs"/>
          <w:color w:val="000000" w:themeColor="text1"/>
          <w:sz w:val="28"/>
          <w:szCs w:val="28"/>
          <w:rtl/>
          <w:lang w:bidi="fa-IR"/>
        </w:rPr>
        <w:softHyphen/>
        <w:t xml:space="preserve">اند: </w:t>
      </w:r>
      <w:r>
        <w:rPr>
          <w:rFonts w:cs="Abz-2 (Badr)" w:hint="cs"/>
          <w:color w:val="0070C0"/>
          <w:sz w:val="28"/>
          <w:szCs w:val="28"/>
          <w:rtl/>
          <w:lang w:bidi="fa-IR"/>
        </w:rPr>
        <w:t>«</w:t>
      </w:r>
      <w:r>
        <w:rPr>
          <w:rFonts w:cs="Abz-2 (Badr)" w:hint="cs"/>
          <w:color w:val="0070C0"/>
          <w:sz w:val="28"/>
          <w:szCs w:val="28"/>
          <w:rtl/>
          <w:lang w:bidi="ar"/>
        </w:rPr>
        <w:t xml:space="preserve">لمن تجب النفقة‌؟ قيل: فيه قولان: </w:t>
      </w:r>
    </w:p>
    <w:p w14:paraId="5645A939" w14:textId="77777777" w:rsidR="00123FCE" w:rsidRDefault="00123FCE" w:rsidP="00123FCE">
      <w:pPr>
        <w:widowControl w:val="0"/>
        <w:bidi/>
        <w:spacing w:after="0" w:line="264" w:lineRule="auto"/>
        <w:ind w:firstLine="284"/>
        <w:jc w:val="both"/>
        <w:rPr>
          <w:rFonts w:cs="Abz-2 (Badr)"/>
          <w:color w:val="0070C0"/>
          <w:sz w:val="28"/>
          <w:szCs w:val="28"/>
          <w:lang w:bidi="ar"/>
        </w:rPr>
      </w:pPr>
      <w:r>
        <w:rPr>
          <w:rFonts w:cs="Abz-2 (Badr)" w:hint="cs"/>
          <w:color w:val="0070C0"/>
          <w:sz w:val="28"/>
          <w:szCs w:val="28"/>
          <w:rtl/>
          <w:lang w:bidi="ar"/>
        </w:rPr>
        <w:t>أحدهما: النفقة لها لأجل الحمل؛ وهو أصحّهما عند المخالف.</w:t>
      </w:r>
    </w:p>
    <w:p w14:paraId="4979D8D5" w14:textId="77777777" w:rsidR="00123FCE" w:rsidRDefault="00123FCE" w:rsidP="00123FCE">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والثاني: النفقة للحمل؛ وهو أقواهما عندي، بدليل أنّها لو كانت حائلاً لا نفقة لها وإذا كانت حاملاً وجبت النفقة، فلما وجبت بوجوده وسقطت بعدمه، ثبت أنّ النفقة له، كالزوجة، لها النفقة مادامت زوجة، فإذا زالت الزوجيّة فلا نفقة لها، فكانت النفقة لأجل الزوجيّة.</w:t>
      </w:r>
    </w:p>
    <w:p w14:paraId="62803726" w14:textId="77777777" w:rsidR="00123FCE" w:rsidRDefault="00123FCE" w:rsidP="00123FCE">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ولأنّه لمّا كانت النفقة له إذا كان منفصلاً فكذلك إذا كان متّصلاً.</w:t>
      </w:r>
    </w:p>
    <w:p w14:paraId="6BD0897D" w14:textId="77777777" w:rsidR="00123FCE" w:rsidRDefault="00123FCE" w:rsidP="00123FCE">
      <w:pPr>
        <w:widowControl w:val="0"/>
        <w:bidi/>
        <w:spacing w:after="0" w:line="264" w:lineRule="auto"/>
        <w:ind w:firstLine="284"/>
        <w:jc w:val="both"/>
        <w:rPr>
          <w:rFonts w:cs="Abz-2 (Badr)" w:hint="cs"/>
          <w:color w:val="0070C0"/>
          <w:sz w:val="28"/>
          <w:szCs w:val="28"/>
          <w:rtl/>
          <w:lang w:bidi="fa-IR"/>
        </w:rPr>
      </w:pPr>
      <w:r>
        <w:rPr>
          <w:rFonts w:cs="Abz-2 (Badr)" w:hint="cs"/>
          <w:color w:val="0070C0"/>
          <w:sz w:val="28"/>
          <w:szCs w:val="28"/>
          <w:rtl/>
          <w:lang w:bidi="ar"/>
        </w:rPr>
        <w:t>ولأنّ أصحابنا رووا أنّه ينفق عليها من مال الحمل، فدلّ على أنّه لا يجب عليها.»</w:t>
      </w:r>
      <w:r>
        <w:rPr>
          <w:rFonts w:cs="Abz-2 (Badr)"/>
          <w:color w:val="000000" w:themeColor="text1"/>
          <w:sz w:val="28"/>
          <w:szCs w:val="28"/>
          <w:vertAlign w:val="superscript"/>
          <w:rtl/>
          <w:lang w:bidi="ar"/>
        </w:rPr>
        <w:footnoteReference w:id="1"/>
      </w:r>
    </w:p>
    <w:p w14:paraId="3A3774B3"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ابن برّاج و علامه در مختلف نيز در اين مسأله از شيخ تبعيت کرده</w:t>
      </w:r>
      <w:r>
        <w:rPr>
          <w:rFonts w:cs="Abz-2 (Badr)" w:hint="cs"/>
          <w:color w:val="000000" w:themeColor="text1"/>
          <w:sz w:val="28"/>
          <w:szCs w:val="28"/>
          <w:rtl/>
          <w:lang w:bidi="fa-IR"/>
        </w:rPr>
        <w:softHyphen/>
        <w:t>اند.</w:t>
      </w:r>
      <w:r>
        <w:rPr>
          <w:rFonts w:cs="Abz-2 (Badr)"/>
          <w:color w:val="000000" w:themeColor="text1"/>
          <w:sz w:val="28"/>
          <w:szCs w:val="28"/>
          <w:vertAlign w:val="superscript"/>
          <w:rtl/>
          <w:lang w:bidi="ar"/>
        </w:rPr>
        <w:footnoteReference w:id="2"/>
      </w:r>
    </w:p>
    <w:p w14:paraId="7C84CD44" w14:textId="77777777" w:rsidR="00123FCE" w:rsidRDefault="00123FCE" w:rsidP="00123FCE">
      <w:pPr>
        <w:widowControl w:val="0"/>
        <w:bidi/>
        <w:spacing w:after="0" w:line="264"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اما ابن زهره در برابر گفته است: </w:t>
      </w:r>
      <w:r>
        <w:rPr>
          <w:rFonts w:cs="Abz-2 (Badr)" w:hint="cs"/>
          <w:color w:val="0070C0"/>
          <w:sz w:val="28"/>
          <w:szCs w:val="28"/>
          <w:rtl/>
          <w:lang w:bidi="ar"/>
        </w:rPr>
        <w:t>«إنّ النفقة تجب لها بلا خلاف.»</w:t>
      </w:r>
      <w:r>
        <w:rPr>
          <w:rFonts w:cs="Abz-2 (Badr)"/>
          <w:color w:val="000000" w:themeColor="text1"/>
          <w:sz w:val="28"/>
          <w:szCs w:val="28"/>
          <w:vertAlign w:val="superscript"/>
          <w:rtl/>
          <w:lang w:bidi="ar"/>
        </w:rPr>
        <w:footnoteReference w:id="3"/>
      </w:r>
    </w:p>
    <w:p w14:paraId="0DC3AC88"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ar"/>
        </w:rPr>
        <w:t>ابن ادريس نيز نظير همين مطلب را بيان کرده است.</w:t>
      </w:r>
      <w:r>
        <w:rPr>
          <w:rFonts w:cs="Abz-2 (Badr)"/>
          <w:color w:val="000000" w:themeColor="text1"/>
          <w:sz w:val="28"/>
          <w:szCs w:val="28"/>
          <w:vertAlign w:val="superscript"/>
          <w:rtl/>
          <w:lang w:bidi="ar"/>
        </w:rPr>
        <w:footnoteReference w:id="4"/>
      </w:r>
    </w:p>
    <w:p w14:paraId="26BE9694"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ابن حمزه نيز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فالحامل يلزم لها النفقة والسكنى لمكان الحمل.»</w:t>
      </w:r>
      <w:r>
        <w:rPr>
          <w:rFonts w:cs="Abz-2 (Badr)"/>
          <w:color w:val="000000" w:themeColor="text1"/>
          <w:sz w:val="28"/>
          <w:szCs w:val="28"/>
          <w:vertAlign w:val="superscript"/>
          <w:rtl/>
          <w:lang w:bidi="ar"/>
        </w:rPr>
        <w:footnoteReference w:id="5"/>
      </w:r>
    </w:p>
    <w:p w14:paraId="78A375F1" w14:textId="77777777" w:rsidR="00123FCE" w:rsidRDefault="00123FCE" w:rsidP="00123FCE">
      <w:pPr>
        <w:widowControl w:val="0"/>
        <w:bidi/>
        <w:spacing w:after="0" w:line="264"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حلبی نيز فرموده است: </w:t>
      </w:r>
      <w:r>
        <w:rPr>
          <w:rFonts w:cs="Abz-2 (Badr)" w:hint="cs"/>
          <w:color w:val="0070C0"/>
          <w:sz w:val="28"/>
          <w:szCs w:val="28"/>
          <w:rtl/>
          <w:lang w:bidi="fa-IR"/>
        </w:rPr>
        <w:t>«</w:t>
      </w:r>
      <w:r>
        <w:rPr>
          <w:rFonts w:cs="Abz-2 (Badr)" w:hint="cs"/>
          <w:color w:val="0070C0"/>
          <w:sz w:val="28"/>
          <w:szCs w:val="28"/>
          <w:rtl/>
          <w:lang w:bidi="ar"/>
        </w:rPr>
        <w:t>نفقة عدّة الطلاق الرجعي واجبة، ولا تجب للبائن إلا أن تكون حاملاً.»</w:t>
      </w:r>
      <w:r>
        <w:rPr>
          <w:rFonts w:cs="Abz-2 (Badr)"/>
          <w:color w:val="000000" w:themeColor="text1"/>
          <w:sz w:val="28"/>
          <w:szCs w:val="28"/>
          <w:vertAlign w:val="superscript"/>
          <w:rtl/>
          <w:lang w:bidi="ar"/>
        </w:rPr>
        <w:footnoteReference w:id="6"/>
      </w:r>
    </w:p>
    <w:p w14:paraId="31F09803"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بلکه خود شيخ نيز در خلاف فرموده است: </w:t>
      </w:r>
      <w:r>
        <w:rPr>
          <w:rFonts w:cs="Abz-2 (Badr)" w:hint="cs"/>
          <w:color w:val="0070C0"/>
          <w:sz w:val="28"/>
          <w:szCs w:val="28"/>
          <w:rtl/>
          <w:lang w:bidi="fa-IR"/>
        </w:rPr>
        <w:t>«</w:t>
      </w:r>
      <w:r>
        <w:rPr>
          <w:rFonts w:cs="Abz-2 (Badr)" w:hint="cs"/>
          <w:color w:val="0070C0"/>
          <w:sz w:val="28"/>
          <w:szCs w:val="28"/>
          <w:rtl/>
          <w:lang w:bidi="ar"/>
        </w:rPr>
        <w:t>البائن إذا كانت حاملاً فلها النفقة بلا خلاف.»</w:t>
      </w:r>
      <w:r>
        <w:rPr>
          <w:rFonts w:cs="Abz-2 (Badr)"/>
          <w:color w:val="000000" w:themeColor="text1"/>
          <w:sz w:val="28"/>
          <w:szCs w:val="28"/>
          <w:vertAlign w:val="superscript"/>
          <w:rtl/>
          <w:lang w:bidi="ar"/>
        </w:rPr>
        <w:footnoteReference w:id="7"/>
      </w:r>
    </w:p>
    <w:p w14:paraId="76046F7F"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ظاهر اين کلمات نيز اختصاص نفقه به مطلقه است.</w:t>
      </w:r>
    </w:p>
    <w:p w14:paraId="2336551F"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البته شيخ در نهايه فرموده است: </w:t>
      </w:r>
      <w:r>
        <w:rPr>
          <w:rFonts w:cs="Abz-2 (Badr)" w:hint="cs"/>
          <w:color w:val="0070C0"/>
          <w:sz w:val="28"/>
          <w:szCs w:val="28"/>
          <w:rtl/>
          <w:lang w:bidi="fa-IR"/>
        </w:rPr>
        <w:t>«</w:t>
      </w:r>
      <w:r>
        <w:rPr>
          <w:rFonts w:cs="Abz-2 (Badr)" w:hint="cs"/>
          <w:color w:val="0070C0"/>
          <w:sz w:val="28"/>
          <w:szCs w:val="28"/>
          <w:rtl/>
          <w:lang w:bidi="ar"/>
        </w:rPr>
        <w:t>متى كانت التطليقة بائنة لا يملك فيها الرجعة، جاز له إخراجها في الحال ولا تلزمه أيضاً نفقتها. اللهمّ‌ إلا أن تكون حاملاً، فتلزمه النفقة عليها حتّى تضع ما في بطنها.»</w:t>
      </w:r>
      <w:r>
        <w:rPr>
          <w:rFonts w:cs="Abz-2 (Badr)"/>
          <w:color w:val="000000" w:themeColor="text1"/>
          <w:sz w:val="28"/>
          <w:szCs w:val="28"/>
          <w:vertAlign w:val="superscript"/>
          <w:rtl/>
          <w:lang w:bidi="ar"/>
        </w:rPr>
        <w:footnoteReference w:id="8"/>
      </w:r>
    </w:p>
    <w:p w14:paraId="766C5502"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اين عبارت فقط ظهور در دادن نفقه به مطلقه حامل دارد و از آن برداشت نمی</w:t>
      </w:r>
      <w:r>
        <w:rPr>
          <w:rFonts w:cs="Abz-2 (Badr)" w:hint="cs"/>
          <w:color w:val="000000" w:themeColor="text1"/>
          <w:sz w:val="28"/>
          <w:szCs w:val="28"/>
          <w:rtl/>
          <w:lang w:bidi="fa-IR"/>
        </w:rPr>
        <w:softHyphen/>
        <w:t>شود که نفقه اختصاص به او داشته باشد، بلکه چه بسا نفقه به حمل اختصاص داشته باشد و از باب اين که ايصال آن به حمل جز با دادن نفقه به حامل ممکن نيست، نفقه به حامل داده می</w:t>
      </w:r>
      <w:r>
        <w:rPr>
          <w:rFonts w:cs="Abz-2 (Badr)" w:hint="cs"/>
          <w:color w:val="000000" w:themeColor="text1"/>
          <w:sz w:val="28"/>
          <w:szCs w:val="28"/>
          <w:rtl/>
          <w:lang w:bidi="fa-IR"/>
        </w:rPr>
        <w:softHyphen/>
        <w:t>شود.</w:t>
      </w:r>
    </w:p>
    <w:p w14:paraId="35062A42"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نتيجه شايد گفته شود: مراد کسانی که قائل به وجوب نفقه برای حامل شده</w:t>
      </w:r>
      <w:r>
        <w:rPr>
          <w:rFonts w:cs="Abz-2 (Badr)" w:hint="cs"/>
          <w:color w:val="000000" w:themeColor="text1"/>
          <w:sz w:val="28"/>
          <w:szCs w:val="28"/>
          <w:rtl/>
          <w:lang w:bidi="fa-IR"/>
        </w:rPr>
        <w:softHyphen/>
        <w:t>اند نيز چيزی بجز اين نيست و نمی</w:t>
      </w:r>
      <w:r>
        <w:rPr>
          <w:rFonts w:cs="Abz-2 (Badr)" w:hint="cs"/>
          <w:color w:val="000000" w:themeColor="text1"/>
          <w:sz w:val="28"/>
          <w:szCs w:val="28"/>
          <w:rtl/>
          <w:lang w:bidi="fa-IR"/>
        </w:rPr>
        <w:softHyphen/>
        <w:t>توان از کلمات آنان اختصاص نفقه به حامل را برداشت نمود، خصوصاً با ملاحظه اين مطلب که خود شيخ با وجود اين که در مبسوط قائل به اختصاص نفقه به حمل شده است، در خلاف ادعا می</w:t>
      </w:r>
      <w:r>
        <w:rPr>
          <w:rFonts w:cs="Abz-2 (Badr)" w:hint="cs"/>
          <w:color w:val="000000" w:themeColor="text1"/>
          <w:sz w:val="28"/>
          <w:szCs w:val="28"/>
          <w:rtl/>
          <w:lang w:bidi="fa-IR"/>
        </w:rPr>
        <w:softHyphen/>
        <w:t>کند که خلافی در مسأله وجود ندارد، و اين مطلب کاشف از اين است که در کلام مذکور، فقط در صدد بيان اصل وجوب انفاق بوده و نظر به اين که نفقه اختصاص به چه کسی دارد، نداشته است.</w:t>
      </w:r>
    </w:p>
    <w:p w14:paraId="488FFB9F"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بلکه صاحب حدائق ادعا کرده است که اکثر اصحاب در اين مسأله موافق با قول شيخ در مبسوط هستند.</w:t>
      </w:r>
      <w:r>
        <w:rPr>
          <w:rFonts w:cs="Abz-2 (Badr)"/>
          <w:color w:val="000000" w:themeColor="text1"/>
          <w:sz w:val="28"/>
          <w:szCs w:val="28"/>
          <w:vertAlign w:val="superscript"/>
          <w:rtl/>
          <w:lang w:bidi="ar"/>
        </w:rPr>
        <w:footnoteReference w:id="9"/>
      </w:r>
    </w:p>
    <w:p w14:paraId="56B4CDD7" w14:textId="77777777" w:rsidR="00123FCE" w:rsidRDefault="00123FCE" w:rsidP="00123FCE">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اما صاحب مدارک در نهاية المرام فرموده است: </w:t>
      </w:r>
      <w:r>
        <w:rPr>
          <w:rFonts w:cs="Abz-2 (Badr)" w:hint="cs"/>
          <w:color w:val="0070C0"/>
          <w:sz w:val="28"/>
          <w:szCs w:val="28"/>
          <w:rtl/>
          <w:lang w:bidi="fa-IR"/>
        </w:rPr>
        <w:t>«</w:t>
      </w:r>
      <w:r>
        <w:rPr>
          <w:rFonts w:cs="Abz-2 (Badr)" w:hint="cs"/>
          <w:color w:val="0070C0"/>
          <w:sz w:val="28"/>
          <w:szCs w:val="28"/>
          <w:rtl/>
          <w:lang w:bidi="ar"/>
        </w:rPr>
        <w:t xml:space="preserve">قيل: انّها للحامل، وهو الأصحّ‌، لأنّه المستفاد من الآية، فإنّ الضمير </w:t>
      </w:r>
      <w:r>
        <w:rPr>
          <w:rFonts w:cs="Abz-2 (Badr)" w:hint="cs"/>
          <w:color w:val="0070C0"/>
          <w:sz w:val="28"/>
          <w:szCs w:val="28"/>
          <w:rtl/>
          <w:lang w:bidi="ar"/>
        </w:rPr>
        <w:lastRenderedPageBreak/>
        <w:t xml:space="preserve">في </w:t>
      </w:r>
      <w:r>
        <w:rPr>
          <w:rFonts w:cs="QuranTaha" w:hint="cs"/>
          <w:color w:val="BF8F00" w:themeColor="accent4" w:themeShade="BF"/>
          <w:sz w:val="26"/>
          <w:szCs w:val="26"/>
          <w:rtl/>
          <w:lang w:bidi="ar"/>
        </w:rPr>
        <w:t>«عَلَيْهِنًّ»</w:t>
      </w:r>
      <w:r>
        <w:rPr>
          <w:rFonts w:cs="Abz-2 (Badr)" w:hint="cs"/>
          <w:color w:val="0070C0"/>
          <w:sz w:val="28"/>
          <w:szCs w:val="28"/>
          <w:rtl/>
          <w:lang w:bidi="ar"/>
        </w:rPr>
        <w:t xml:space="preserve"> يرجع الى الحامل بغير إشكال.»</w:t>
      </w:r>
      <w:r>
        <w:rPr>
          <w:rFonts w:cs="Abz-2 (Badr)"/>
          <w:color w:val="000000" w:themeColor="text1"/>
          <w:sz w:val="28"/>
          <w:szCs w:val="28"/>
          <w:vertAlign w:val="superscript"/>
          <w:rtl/>
          <w:lang w:bidi="ar"/>
        </w:rPr>
        <w:footnoteReference w:id="10"/>
      </w:r>
    </w:p>
    <w:p w14:paraId="71498B17" w14:textId="77777777" w:rsidR="00123FCE" w:rsidRDefault="00123FCE" w:rsidP="00123FCE">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اما صاحب رياض با اشکال در اين مدعا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غاية ما يستفاد منها الإنفاق عليها، الأعمّ‌ من كونه لها أو لولدها، وليس في شيء منها تعيين أحدهما، ولذا اختلف فيه كلام أصحابنا.»</w:t>
      </w:r>
      <w:r>
        <w:rPr>
          <w:rFonts w:cs="Abz-2 (Badr)"/>
          <w:color w:val="000000" w:themeColor="text1"/>
          <w:sz w:val="28"/>
          <w:szCs w:val="28"/>
          <w:vertAlign w:val="superscript"/>
          <w:rtl/>
          <w:lang w:bidi="ar"/>
        </w:rPr>
        <w:footnoteReference w:id="11"/>
      </w:r>
    </w:p>
    <w:p w14:paraId="2D69F754"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واقع آنچه که ايشان فرموده</w:t>
      </w:r>
      <w:r>
        <w:rPr>
          <w:rFonts w:cs="Abz-2 (Badr)" w:hint="cs"/>
          <w:color w:val="000000" w:themeColor="text1"/>
          <w:sz w:val="28"/>
          <w:szCs w:val="28"/>
          <w:rtl/>
          <w:lang w:bidi="fa-IR"/>
        </w:rPr>
        <w:softHyphen/>
        <w:t>اند، مبتنی بر همان مطلبی است که سابقاً گذشت مبنی بر اين که چه نفقه اختصاص به مطلقه داشته باشد و چه اختصاص به حمل، در هر حال بايد به مطلقه تحويل شود، زيرا ايصال آن به حمل نيز ـ بنابر اين که اختصاص به حمل داشته باشد ـ جز اين نمی</w:t>
      </w:r>
      <w:r>
        <w:rPr>
          <w:rFonts w:cs="Abz-2 (Badr)" w:hint="cs"/>
          <w:color w:val="000000" w:themeColor="text1"/>
          <w:sz w:val="28"/>
          <w:szCs w:val="28"/>
          <w:rtl/>
          <w:lang w:bidi="fa-IR"/>
        </w:rPr>
        <w:softHyphen/>
        <w:t>تواند باشد، و آمچه که در آيه شريفه و اخبار آمده است، چيزی بيشتر از وجوب دادن نفقه به مطلقه حامل نيست و اين مطلب دلالتی ندارد بر اين که نفقه اختصاص به وی دارد.</w:t>
      </w:r>
    </w:p>
    <w:p w14:paraId="554222A9"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ادله</w:t>
      </w:r>
      <w:r>
        <w:rPr>
          <w:rFonts w:cs="Abz-2 (Badr)" w:hint="cs"/>
          <w:color w:val="000000" w:themeColor="text1"/>
          <w:sz w:val="28"/>
          <w:szCs w:val="28"/>
          <w:rtl/>
          <w:lang w:bidi="fa-IR"/>
        </w:rPr>
        <w:softHyphen/>
        <w:t>ای که شيخ برای اختصاص نفقه به حمل ذکر کرده است نيز ادله تمامی نيستند؛ زيرا اين که مطلقه در صورت حمل نفقه داشته و در غير اين صورت نفقه ندارد، لزوماً به اين معنا نيست که نفقه اختصاص به حمل دارد، بلکه حامل بودن می</w:t>
      </w:r>
      <w:r>
        <w:rPr>
          <w:rFonts w:cs="Abz-2 (Badr)" w:hint="cs"/>
          <w:color w:val="000000" w:themeColor="text1"/>
          <w:sz w:val="28"/>
          <w:szCs w:val="28"/>
          <w:rtl/>
          <w:lang w:bidi="fa-IR"/>
        </w:rPr>
        <w:softHyphen/>
        <w:t>تواند حيثيت تقييديه برای اختصاص نفقه به مطلقه باشد و اتفاقاً آنچه که مسأله را به آن تنظير کرده و فرموده</w:t>
      </w:r>
      <w:r>
        <w:rPr>
          <w:rFonts w:cs="Abz-2 (Badr)" w:hint="cs"/>
          <w:color w:val="000000" w:themeColor="text1"/>
          <w:sz w:val="28"/>
          <w:szCs w:val="28"/>
          <w:rtl/>
          <w:lang w:bidi="fa-IR"/>
        </w:rPr>
        <w:softHyphen/>
        <w:t>اند اين مطسأله به مانند نفقه زوجه است که بدون زوجيت منتفی است، مؤيد همين مطلب است، زيرا در آنجا نيز نفقه مربوط به زوجه است و زوجيت حيثيت تقييديه در اختصاص نفقه به وی دارد.</w:t>
      </w:r>
    </w:p>
    <w:p w14:paraId="6538A2BB"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 اما اين که اگر فرزند متولد شود، نفقه او بر پدر واجب است، دلالت بر اين ندارد که نفقه</w:t>
      </w:r>
      <w:r>
        <w:rPr>
          <w:rFonts w:cs="Abz-2 (Badr)" w:hint="cs"/>
          <w:color w:val="000000" w:themeColor="text1"/>
          <w:sz w:val="28"/>
          <w:szCs w:val="28"/>
          <w:rtl/>
          <w:lang w:bidi="fa-IR"/>
        </w:rPr>
        <w:softHyphen/>
        <w:t>ای که در آيه شريفه و در اخبار وجوب آن در مدت حمل آمده است، مختص به اوست، همان گونه که اگر زوجه حمل بردارد، نفقه او بر زوج واجب است، هرچند در حال حمل فرزند کسی باشد که در حال دادن نفقه است و کسی ادعا نکرده است که در اين حال، دو نفقه بر زوج واجب است، يکی برای زوجه و ديگری برای حمل.</w:t>
      </w:r>
    </w:p>
    <w:p w14:paraId="48C7CB02"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بله می</w:t>
      </w:r>
      <w:r>
        <w:rPr>
          <w:rFonts w:cs="Abz-2 (Badr)" w:hint="cs"/>
          <w:color w:val="000000" w:themeColor="text1"/>
          <w:sz w:val="28"/>
          <w:szCs w:val="28"/>
          <w:rtl/>
          <w:lang w:bidi="fa-IR"/>
        </w:rPr>
        <w:softHyphen/>
        <w:t>توان گفت که نفقه زنی که حامل است با نفقه زنی که غير حامل است، متفاوت است، زيرا وجود حمل سبب می</w:t>
      </w:r>
      <w:r>
        <w:rPr>
          <w:rFonts w:cs="Abz-2 (Badr)" w:hint="cs"/>
          <w:color w:val="000000" w:themeColor="text1"/>
          <w:sz w:val="28"/>
          <w:szCs w:val="28"/>
          <w:rtl/>
          <w:lang w:bidi="fa-IR"/>
        </w:rPr>
        <w:softHyphen/>
        <w:t xml:space="preserve">شود که زن، نيازهای بيشتری پيدا کند و با اين وجود کسی ادعا نکرده است که اگر حمل دارای مالی باشد، بخشی </w:t>
      </w:r>
      <w:r>
        <w:rPr>
          <w:rFonts w:cs="Abz-2 (Badr)" w:hint="cs"/>
          <w:color w:val="000000" w:themeColor="text1"/>
          <w:sz w:val="28"/>
          <w:szCs w:val="28"/>
          <w:rtl/>
          <w:lang w:bidi="fa-IR"/>
        </w:rPr>
        <w:lastRenderedPageBreak/>
        <w:t>از اين نفقه را بايد از مال او پرداخت نمود، زيرا نفقه دوران حمل، نفقه زوجه است نه نفقه حمل، هرچند وجود حمل در اين که زوجه احتياجات زائدی داشته باشد، مؤثر بوده است.</w:t>
      </w:r>
    </w:p>
    <w:p w14:paraId="33C3D4DC"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بنابر اين بُعدی ندارد که گفته شود: نفقه اختصاص به مطلقه حامل دارد اما مقدار و کيفيت آن با توجه به اين که حامل است، تعيين می</w:t>
      </w:r>
      <w:r>
        <w:rPr>
          <w:rFonts w:cs="Abz-2 (Badr)" w:hint="cs"/>
          <w:color w:val="000000" w:themeColor="text1"/>
          <w:sz w:val="28"/>
          <w:szCs w:val="28"/>
          <w:rtl/>
          <w:lang w:bidi="fa-IR"/>
        </w:rPr>
        <w:softHyphen/>
        <w:t>شود.</w:t>
      </w:r>
    </w:p>
    <w:p w14:paraId="7AC9BA2F"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 با اين مطلب آشکار می</w:t>
      </w:r>
      <w:r>
        <w:rPr>
          <w:rFonts w:cs="Abz-2 (Badr)" w:hint="cs"/>
          <w:color w:val="000000" w:themeColor="text1"/>
          <w:sz w:val="28"/>
          <w:szCs w:val="28"/>
          <w:rtl/>
          <w:lang w:bidi="fa-IR"/>
        </w:rPr>
        <w:softHyphen/>
        <w:t>شود که آنچه که سابقاً گفتيم مبنی بر اين که آيه شريفه شامل مطلقه رجعيه حامل می</w:t>
      </w:r>
      <w:r>
        <w:rPr>
          <w:rFonts w:cs="Abz-2 (Badr)" w:hint="cs"/>
          <w:color w:val="000000" w:themeColor="text1"/>
          <w:sz w:val="28"/>
          <w:szCs w:val="28"/>
          <w:rtl/>
          <w:lang w:bidi="fa-IR"/>
        </w:rPr>
        <w:softHyphen/>
        <w:t>شود نيز دارای وجه است، زيرا اگرچه مطلقه رجعيه در هر حال دارای نفقه است، اما نفقه او در فرض حامل بودن با نفقه او در فرض غير حامل بودن متفاوت است.</w:t>
      </w:r>
    </w:p>
    <w:p w14:paraId="27F89B1B"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 اما اين که در اخبار آمده است که نفقه از مال حمل پرداخت می</w:t>
      </w:r>
      <w:r>
        <w:rPr>
          <w:rFonts w:cs="Abz-2 (Badr)" w:hint="cs"/>
          <w:color w:val="000000" w:themeColor="text1"/>
          <w:sz w:val="28"/>
          <w:szCs w:val="28"/>
          <w:rtl/>
          <w:lang w:bidi="fa-IR"/>
        </w:rPr>
        <w:softHyphen/>
        <w:t>شود، مربوط به موردی است که پدر از دنيا رفته باشد که بحث آن در ادامه خواهد آمد و اين مطلب ارتباطی به بحث فعلی ندارد.</w:t>
      </w:r>
    </w:p>
    <w:p w14:paraId="0763225E" w14:textId="77777777" w:rsidR="00123FCE" w:rsidRDefault="00123FCE" w:rsidP="00123FCE">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012A3589" w14:textId="77777777" w:rsidR="00123FCE" w:rsidRDefault="00123FCE" w:rsidP="00123FCE">
      <w:pPr>
        <w:widowControl w:val="0"/>
        <w:bidi/>
        <w:spacing w:after="0" w:line="264" w:lineRule="auto"/>
        <w:ind w:firstLine="284"/>
        <w:jc w:val="both"/>
        <w:rPr>
          <w:rFonts w:cs="Abz-2 (Badr)" w:hint="cs"/>
          <w:color w:val="000000" w:themeColor="text1"/>
          <w:spacing w:val="-6"/>
          <w:sz w:val="28"/>
          <w:szCs w:val="28"/>
          <w:rtl/>
        </w:rPr>
      </w:pPr>
      <w:r>
        <w:rPr>
          <w:rFonts w:cs="Abz-2 (Badr)" w:hint="cs"/>
          <w:color w:val="000000" w:themeColor="text1"/>
          <w:spacing w:val="-6"/>
          <w:sz w:val="28"/>
          <w:szCs w:val="28"/>
          <w:rtl/>
        </w:rPr>
        <w:lastRenderedPageBreak/>
        <w:t>كان البحث يدور حول أنّ النفقة التي تعطى للمطلّقة الحامل، هل تختصّ بالزوجة أم أنّها خاصّة بالحمل؟</w:t>
      </w:r>
    </w:p>
    <w:p w14:paraId="4B5483E3" w14:textId="77777777" w:rsidR="00123FCE" w:rsidRDefault="00123FCE" w:rsidP="00123FCE">
      <w:pPr>
        <w:widowControl w:val="0"/>
        <w:bidi/>
        <w:spacing w:after="0" w:line="264" w:lineRule="auto"/>
        <w:ind w:firstLine="284"/>
        <w:jc w:val="both"/>
        <w:rPr>
          <w:rFonts w:cs="Abz-2 (Badr)" w:hint="cs"/>
          <w:color w:val="0070C0"/>
          <w:sz w:val="28"/>
          <w:szCs w:val="28"/>
          <w:rtl/>
          <w:lang w:bidi="fa-IR"/>
        </w:rPr>
      </w:pPr>
      <w:r>
        <w:rPr>
          <w:rFonts w:cs="Abz-2 (Badr)" w:hint="cs"/>
          <w:color w:val="000000" w:themeColor="text1"/>
          <w:spacing w:val="-6"/>
          <w:sz w:val="28"/>
          <w:szCs w:val="28"/>
          <w:rtl/>
        </w:rPr>
        <w:t>قد مرّ في نقل كلام الشيخ في التبيان أنّ ظاهر عبارته في تفسير الآية الشريفة يدلّ على أنّ النفقة تختصّ بالزوجة</w:t>
      </w:r>
      <w:r>
        <w:rPr>
          <w:rFonts w:cs="Abz-2 (Badr)" w:hint="cs"/>
          <w:color w:val="000000" w:themeColor="text1"/>
          <w:spacing w:val="-6"/>
          <w:sz w:val="28"/>
          <w:szCs w:val="28"/>
          <w:rtl/>
          <w:lang w:bidi="fa-IR"/>
        </w:rPr>
        <w:t>. إلا أنّه قال</w:t>
      </w:r>
      <w:r>
        <w:rPr>
          <w:rFonts w:cs="Abz-2 (Badr)" w:hint="cs"/>
          <w:color w:val="000000" w:themeColor="text1"/>
          <w:spacing w:val="-6"/>
          <w:sz w:val="28"/>
          <w:szCs w:val="28"/>
          <w:rtl/>
        </w:rPr>
        <w:t xml:space="preserve"> في المبسوط: </w:t>
      </w:r>
      <w:r>
        <w:rPr>
          <w:rFonts w:cs="Abz-2 (Badr)" w:hint="cs"/>
          <w:color w:val="0070C0"/>
          <w:sz w:val="28"/>
          <w:szCs w:val="28"/>
          <w:rtl/>
          <w:lang w:bidi="fa-IR"/>
        </w:rPr>
        <w:t>«</w:t>
      </w:r>
      <w:r>
        <w:rPr>
          <w:rFonts w:cs="Abz-2 (Badr)" w:hint="cs"/>
          <w:color w:val="0070C0"/>
          <w:sz w:val="28"/>
          <w:szCs w:val="28"/>
          <w:rtl/>
          <w:lang w:bidi="ar"/>
        </w:rPr>
        <w:t xml:space="preserve">لمن تجب النفقة‌؟ قيل: فيه قولان: </w:t>
      </w:r>
    </w:p>
    <w:p w14:paraId="0454815F" w14:textId="77777777" w:rsidR="00123FCE" w:rsidRDefault="00123FCE" w:rsidP="00123FCE">
      <w:pPr>
        <w:widowControl w:val="0"/>
        <w:bidi/>
        <w:spacing w:after="0" w:line="264" w:lineRule="auto"/>
        <w:ind w:firstLine="284"/>
        <w:jc w:val="both"/>
        <w:rPr>
          <w:rFonts w:cs="Abz-2 (Badr)"/>
          <w:color w:val="0070C0"/>
          <w:sz w:val="28"/>
          <w:szCs w:val="28"/>
          <w:lang w:bidi="ar"/>
        </w:rPr>
      </w:pPr>
      <w:r>
        <w:rPr>
          <w:rFonts w:cs="Abz-2 (Badr)" w:hint="cs"/>
          <w:color w:val="0070C0"/>
          <w:sz w:val="28"/>
          <w:szCs w:val="28"/>
          <w:rtl/>
          <w:lang w:bidi="ar"/>
        </w:rPr>
        <w:t>أحدهما: النفقة لها لأجل الحمل؛ وهو أصحّهما عند المخالف.</w:t>
      </w:r>
    </w:p>
    <w:p w14:paraId="38F3D9A7" w14:textId="77777777" w:rsidR="00123FCE" w:rsidRDefault="00123FCE" w:rsidP="00123FCE">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والثاني: النفقة للحمل؛ وهو أقواهما عندي، بدليل أنّها لو كانت حائلاً لا نفقة لها وإذا كانت حاملاً وجبت النفقة، فلما وجبت بوجوده وسقطت بعدمه، ثبت أنّ النفقة له، كالزوجة، لها النفقة مادامت زوجة، فإذا زالت الزوجيّة فلا نفقة لها، فكانت النفقة لأجل الزوجيّة.</w:t>
      </w:r>
    </w:p>
    <w:p w14:paraId="7DF1A1B9" w14:textId="77777777" w:rsidR="00123FCE" w:rsidRDefault="00123FCE" w:rsidP="00123FCE">
      <w:pPr>
        <w:widowControl w:val="0"/>
        <w:bidi/>
        <w:spacing w:after="0" w:line="264" w:lineRule="auto"/>
        <w:ind w:firstLine="284"/>
        <w:jc w:val="both"/>
        <w:rPr>
          <w:rFonts w:cs="Abz-2 (Badr)" w:hint="cs"/>
          <w:color w:val="0070C0"/>
          <w:sz w:val="28"/>
          <w:szCs w:val="28"/>
          <w:rtl/>
          <w:lang w:bidi="ar"/>
        </w:rPr>
      </w:pPr>
      <w:r>
        <w:rPr>
          <w:rFonts w:cs="Abz-2 (Badr)" w:hint="cs"/>
          <w:color w:val="0070C0"/>
          <w:sz w:val="28"/>
          <w:szCs w:val="28"/>
          <w:rtl/>
          <w:lang w:bidi="ar"/>
        </w:rPr>
        <w:t>ولأنّه لمّا كانت النفقة له إذا كان منفصلاً فكذلك إذا كان متّصلاً.</w:t>
      </w:r>
    </w:p>
    <w:p w14:paraId="39D6300B" w14:textId="77777777" w:rsidR="00123FCE" w:rsidRDefault="00123FCE" w:rsidP="00123FCE">
      <w:pPr>
        <w:widowControl w:val="0"/>
        <w:bidi/>
        <w:spacing w:after="0" w:line="264" w:lineRule="auto"/>
        <w:ind w:firstLine="284"/>
        <w:jc w:val="both"/>
        <w:rPr>
          <w:rFonts w:cs="Abz-2 (Badr)" w:hint="cs"/>
          <w:color w:val="0070C0"/>
          <w:sz w:val="28"/>
          <w:szCs w:val="28"/>
          <w:rtl/>
          <w:lang w:bidi="fa-IR"/>
        </w:rPr>
      </w:pPr>
      <w:r>
        <w:rPr>
          <w:rFonts w:cs="Abz-2 (Badr)" w:hint="cs"/>
          <w:color w:val="0070C0"/>
          <w:sz w:val="28"/>
          <w:szCs w:val="28"/>
          <w:rtl/>
          <w:lang w:bidi="ar"/>
        </w:rPr>
        <w:t>ولأنّ أصحابنا رووا أنّه ينفق عليها من مال الحمل، فدلّ على أنّه لا يجب عليها.»</w:t>
      </w:r>
      <w:r>
        <w:rPr>
          <w:rFonts w:cs="Abz-2 (Badr)"/>
          <w:color w:val="000000" w:themeColor="text1"/>
          <w:sz w:val="28"/>
          <w:szCs w:val="28"/>
          <w:vertAlign w:val="superscript"/>
          <w:rtl/>
          <w:lang w:bidi="ar"/>
        </w:rPr>
        <w:footnoteReference w:id="12"/>
      </w:r>
    </w:p>
    <w:p w14:paraId="68FDD6F5"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وتبعه ابن البرّاج والعلامه في المختلف في هذه المسأله.</w:t>
      </w:r>
      <w:r>
        <w:rPr>
          <w:rFonts w:cs="Abz-2 (Badr)"/>
          <w:color w:val="000000" w:themeColor="text1"/>
          <w:sz w:val="28"/>
          <w:szCs w:val="28"/>
          <w:vertAlign w:val="superscript"/>
          <w:rtl/>
          <w:lang w:bidi="ar"/>
        </w:rPr>
        <w:footnoteReference w:id="13"/>
      </w:r>
    </w:p>
    <w:p w14:paraId="6D2C6159" w14:textId="77777777" w:rsidR="00123FCE" w:rsidRDefault="00123FCE" w:rsidP="00123FCE">
      <w:pPr>
        <w:widowControl w:val="0"/>
        <w:bidi/>
        <w:spacing w:after="0" w:line="264"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ولکن قال ابن زهرة: </w:t>
      </w:r>
      <w:r>
        <w:rPr>
          <w:rFonts w:cs="Abz-2 (Badr)" w:hint="cs"/>
          <w:color w:val="0070C0"/>
          <w:sz w:val="28"/>
          <w:szCs w:val="28"/>
          <w:rtl/>
          <w:lang w:bidi="ar"/>
        </w:rPr>
        <w:t>«إنّ النفقة تجب لها بلا خلاف.»</w:t>
      </w:r>
      <w:r>
        <w:rPr>
          <w:rFonts w:cs="Abz-2 (Badr)"/>
          <w:color w:val="000000" w:themeColor="text1"/>
          <w:sz w:val="28"/>
          <w:szCs w:val="28"/>
          <w:vertAlign w:val="superscript"/>
          <w:rtl/>
          <w:lang w:bidi="ar"/>
        </w:rPr>
        <w:footnoteReference w:id="14"/>
      </w:r>
    </w:p>
    <w:p w14:paraId="5A9F8632"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وقد ذكر ابن إدريس أيضاً نظير هذا الکلام</w:t>
      </w:r>
      <w:r>
        <w:rPr>
          <w:rFonts w:cs="Abz-2 (Badr)" w:hint="cs"/>
          <w:color w:val="000000" w:themeColor="text1"/>
          <w:sz w:val="28"/>
          <w:szCs w:val="28"/>
          <w:rtl/>
          <w:lang w:bidi="ar"/>
        </w:rPr>
        <w:t>.</w:t>
      </w:r>
      <w:r>
        <w:rPr>
          <w:rFonts w:cs="Abz-2 (Badr)"/>
          <w:color w:val="000000" w:themeColor="text1"/>
          <w:sz w:val="28"/>
          <w:szCs w:val="28"/>
          <w:vertAlign w:val="superscript"/>
          <w:rtl/>
          <w:lang w:bidi="ar"/>
        </w:rPr>
        <w:footnoteReference w:id="15"/>
      </w:r>
    </w:p>
    <w:p w14:paraId="34EC178A"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وقال ابن حمزة: </w:t>
      </w:r>
      <w:r>
        <w:rPr>
          <w:rFonts w:cs="Abz-2 (Badr)" w:hint="cs"/>
          <w:color w:val="0070C0"/>
          <w:sz w:val="28"/>
          <w:szCs w:val="28"/>
          <w:rtl/>
          <w:lang w:bidi="fa-IR"/>
        </w:rPr>
        <w:t>«</w:t>
      </w:r>
      <w:r>
        <w:rPr>
          <w:rFonts w:cs="Abz-2 (Badr)" w:hint="cs"/>
          <w:color w:val="0070C0"/>
          <w:sz w:val="28"/>
          <w:szCs w:val="28"/>
          <w:rtl/>
          <w:lang w:bidi="ar"/>
        </w:rPr>
        <w:t>فالحامل يلزم لها النفقة والسكنى لمكان الحمل.»</w:t>
      </w:r>
      <w:r>
        <w:rPr>
          <w:rFonts w:cs="Abz-2 (Badr)"/>
          <w:color w:val="000000" w:themeColor="text1"/>
          <w:sz w:val="28"/>
          <w:szCs w:val="28"/>
          <w:vertAlign w:val="superscript"/>
          <w:rtl/>
          <w:lang w:bidi="ar"/>
        </w:rPr>
        <w:footnoteReference w:id="16"/>
      </w:r>
    </w:p>
    <w:p w14:paraId="604FC7C5" w14:textId="77777777" w:rsidR="00123FCE" w:rsidRDefault="00123FCE" w:rsidP="00123FCE">
      <w:pPr>
        <w:widowControl w:val="0"/>
        <w:bidi/>
        <w:spacing w:after="0" w:line="264"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وقال الحلبي: </w:t>
      </w:r>
      <w:r>
        <w:rPr>
          <w:rFonts w:cs="Abz-2 (Badr)" w:hint="cs"/>
          <w:color w:val="0070C0"/>
          <w:sz w:val="28"/>
          <w:szCs w:val="28"/>
          <w:rtl/>
          <w:lang w:bidi="fa-IR"/>
        </w:rPr>
        <w:t>«</w:t>
      </w:r>
      <w:r>
        <w:rPr>
          <w:rFonts w:cs="Abz-2 (Badr)" w:hint="cs"/>
          <w:color w:val="0070C0"/>
          <w:sz w:val="28"/>
          <w:szCs w:val="28"/>
          <w:rtl/>
          <w:lang w:bidi="ar"/>
        </w:rPr>
        <w:t>نفقة عدّة الطلاق الرجعي واجبة، ولا تجب للبائن إلا أن تكون حاملاً.»</w:t>
      </w:r>
      <w:r>
        <w:rPr>
          <w:rFonts w:cs="Abz-2 (Badr)"/>
          <w:color w:val="000000" w:themeColor="text1"/>
          <w:sz w:val="28"/>
          <w:szCs w:val="28"/>
          <w:vertAlign w:val="superscript"/>
          <w:rtl/>
          <w:lang w:bidi="ar"/>
        </w:rPr>
        <w:footnoteReference w:id="17"/>
      </w:r>
    </w:p>
    <w:p w14:paraId="6FAFCB12"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 xml:space="preserve">بل قال الشيخ نفسه في الخلاف: </w:t>
      </w:r>
      <w:r>
        <w:rPr>
          <w:rFonts w:cs="Abz-2 (Badr)" w:hint="cs"/>
          <w:color w:val="0070C0"/>
          <w:sz w:val="28"/>
          <w:szCs w:val="28"/>
          <w:rtl/>
          <w:lang w:bidi="fa-IR"/>
        </w:rPr>
        <w:t>«</w:t>
      </w:r>
      <w:r>
        <w:rPr>
          <w:rFonts w:cs="Abz-2 (Badr)" w:hint="cs"/>
          <w:color w:val="0070C0"/>
          <w:sz w:val="28"/>
          <w:szCs w:val="28"/>
          <w:rtl/>
          <w:lang w:bidi="ar"/>
        </w:rPr>
        <w:t>البائن إذا كانت حاملاً فلها النفقة بلا خلاف.»</w:t>
      </w:r>
      <w:r>
        <w:rPr>
          <w:rFonts w:cs="Abz-2 (Badr)"/>
          <w:color w:val="000000" w:themeColor="text1"/>
          <w:sz w:val="28"/>
          <w:szCs w:val="28"/>
          <w:vertAlign w:val="superscript"/>
          <w:rtl/>
          <w:lang w:bidi="ar"/>
        </w:rPr>
        <w:footnoteReference w:id="18"/>
      </w:r>
    </w:p>
    <w:p w14:paraId="460E7111"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وظاهر هذه الکلمات اختصاص النفقة بالمطلقة الحامل.</w:t>
      </w:r>
    </w:p>
    <w:p w14:paraId="33147903" w14:textId="77777777" w:rsidR="00123FCE" w:rsidRDefault="00123FCE" w:rsidP="00123FCE">
      <w:pPr>
        <w:widowControl w:val="0"/>
        <w:bidi/>
        <w:spacing w:after="0" w:line="26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نعم، قال الشيخ في النهاية: </w:t>
      </w:r>
      <w:r>
        <w:rPr>
          <w:rFonts w:cs="Abz-2 (Badr)" w:hint="cs"/>
          <w:color w:val="0070C0"/>
          <w:sz w:val="28"/>
          <w:szCs w:val="28"/>
          <w:rtl/>
          <w:lang w:bidi="fa-IR"/>
        </w:rPr>
        <w:t>«</w:t>
      </w:r>
      <w:r>
        <w:rPr>
          <w:rFonts w:cs="Abz-2 (Badr)" w:hint="cs"/>
          <w:color w:val="0070C0"/>
          <w:sz w:val="28"/>
          <w:szCs w:val="28"/>
          <w:rtl/>
          <w:lang w:bidi="ar"/>
        </w:rPr>
        <w:t>متى كانت التطليقة بائنة لا يملك فيها الرجعة، جاز له إخراجها في الحال ولا تلزمه أيضاً نفقتها. اللهمّ‌ إلا أن تكون حاملاً، فتلزمه النفقة عليها حتّى تضع ما في بطنها.»</w:t>
      </w:r>
      <w:r>
        <w:rPr>
          <w:rFonts w:cs="Abz-2 (Badr)"/>
          <w:color w:val="000000" w:themeColor="text1"/>
          <w:sz w:val="28"/>
          <w:szCs w:val="28"/>
          <w:vertAlign w:val="superscript"/>
          <w:rtl/>
          <w:lang w:bidi="ar"/>
        </w:rPr>
        <w:footnoteReference w:id="19"/>
      </w:r>
    </w:p>
    <w:p w14:paraId="337327C8"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فإنّ ظاهر هذه العبارة إنّما هو وجوب دفع النفقة إلى المطلّقة الحامل، ولا يستفاد منها اختصاص النفقة بها، بل لعلّ النفقة تكون مختصّة بالحمل غير أنّ إيصالها إليه لا يتحقّق إلا بدفعها إلى أُمّه، فيكون دفعها إليها من باب الطريقيّة.</w:t>
      </w:r>
    </w:p>
    <w:p w14:paraId="63C9E644" w14:textId="77777777" w:rsidR="00123FCE" w:rsidRDefault="00123FCE" w:rsidP="00123FCE">
      <w:pPr>
        <w:widowControl w:val="0"/>
        <w:bidi/>
        <w:spacing w:after="0" w:line="252" w:lineRule="auto"/>
        <w:ind w:firstLine="284"/>
        <w:jc w:val="both"/>
        <w:rPr>
          <w:rFonts w:cs="Abz-2 (Badr)"/>
          <w:color w:val="000000" w:themeColor="text1"/>
          <w:sz w:val="28"/>
          <w:szCs w:val="28"/>
        </w:rPr>
      </w:pPr>
      <w:r>
        <w:rPr>
          <w:rFonts w:cs="Abz-2 (Badr)" w:hint="cs"/>
          <w:color w:val="000000" w:themeColor="text1"/>
          <w:sz w:val="28"/>
          <w:szCs w:val="28"/>
          <w:rtl/>
        </w:rPr>
        <w:t>وعليه يمكن أن يقال: إنّ مراد القائلين بوجوب النفقة للحامل ليس أمراً آخر وراء هذا، فلا يمكن استفادة اختصاص النفقة بالحامل من كلماتهم، ولا سيّما مع ملاحظة أنّ الشيخ نفسه مع تبنّيه اختصاص النفقة بالحمل في المبسوط قد ادّعى في الخلاف عدم الخلاف في المسألة، وهذا يكشف عن أنّ مقصوده من ذلك الكلام إنّما هو أصل وجوب النفقة، لا أنّها تختصّ بالحامل.</w:t>
      </w:r>
    </w:p>
    <w:p w14:paraId="5393AAE6"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r>
        <w:rPr>
          <w:rFonts w:cs="Abz-2 (Badr)" w:hint="cs"/>
          <w:color w:val="000000" w:themeColor="text1"/>
          <w:sz w:val="28"/>
          <w:szCs w:val="28"/>
          <w:rtl/>
        </w:rPr>
        <w:t>بل ادّعى صاحب الحدائق موافقة أكثر الأصحاب للشيخ في المبسوط في هذا القول</w:t>
      </w:r>
      <w:r>
        <w:rPr>
          <w:rFonts w:cs="Abz-2 (Badr)" w:hint="cs"/>
          <w:color w:val="000000" w:themeColor="text1"/>
          <w:sz w:val="28"/>
          <w:szCs w:val="28"/>
          <w:rtl/>
          <w:lang w:bidi="fa-IR"/>
        </w:rPr>
        <w:t>.</w:t>
      </w:r>
      <w:r>
        <w:rPr>
          <w:rFonts w:cs="Abz-2 (Badr)"/>
          <w:color w:val="000000" w:themeColor="text1"/>
          <w:sz w:val="28"/>
          <w:szCs w:val="28"/>
          <w:vertAlign w:val="superscript"/>
          <w:rtl/>
          <w:lang w:bidi="ar"/>
        </w:rPr>
        <w:footnoteReference w:id="20"/>
      </w:r>
    </w:p>
    <w:p w14:paraId="63101E7B" w14:textId="77777777" w:rsidR="00123FCE" w:rsidRDefault="00123FCE" w:rsidP="00123FCE">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ثمّ إنّه قال صاحب المدار</w:t>
      </w:r>
      <w:r>
        <w:rPr>
          <w:rFonts w:cs="Abz-2 (Badr)" w:hint="cs"/>
          <w:color w:val="000000" w:themeColor="text1"/>
          <w:sz w:val="28"/>
          <w:szCs w:val="28"/>
          <w:rtl/>
        </w:rPr>
        <w:t>ك</w:t>
      </w:r>
      <w:r>
        <w:rPr>
          <w:rFonts w:cs="Abz-2 (Badr)" w:hint="cs"/>
          <w:color w:val="000000" w:themeColor="text1"/>
          <w:sz w:val="28"/>
          <w:szCs w:val="28"/>
          <w:rtl/>
          <w:lang w:bidi="fa-IR"/>
        </w:rPr>
        <w:t xml:space="preserve"> في نهاية المرام: </w:t>
      </w:r>
      <w:r>
        <w:rPr>
          <w:rFonts w:cs="Abz-2 (Badr)" w:hint="cs"/>
          <w:color w:val="0070C0"/>
          <w:sz w:val="28"/>
          <w:szCs w:val="28"/>
          <w:rtl/>
          <w:lang w:bidi="fa-IR"/>
        </w:rPr>
        <w:t>«</w:t>
      </w:r>
      <w:r>
        <w:rPr>
          <w:rFonts w:cs="Abz-2 (Badr)" w:hint="cs"/>
          <w:color w:val="0070C0"/>
          <w:sz w:val="28"/>
          <w:szCs w:val="28"/>
          <w:rtl/>
          <w:lang w:bidi="ar"/>
        </w:rPr>
        <w:t xml:space="preserve">قيل: انّها للحامل، وهو الأصحّ‌، لأنّه المستفاد من الآية، فإنّ الضمير في </w:t>
      </w:r>
      <w:r>
        <w:rPr>
          <w:rFonts w:cs="QuranTaha" w:hint="cs"/>
          <w:color w:val="BF8F00" w:themeColor="accent4" w:themeShade="BF"/>
          <w:sz w:val="26"/>
          <w:szCs w:val="26"/>
          <w:rtl/>
          <w:lang w:bidi="ar"/>
        </w:rPr>
        <w:t>«عَلَيْهِنًّ»</w:t>
      </w:r>
      <w:r>
        <w:rPr>
          <w:rFonts w:cs="Abz-2 (Badr)" w:hint="cs"/>
          <w:color w:val="0070C0"/>
          <w:sz w:val="28"/>
          <w:szCs w:val="28"/>
          <w:rtl/>
          <w:lang w:bidi="ar"/>
        </w:rPr>
        <w:t xml:space="preserve"> يرجع الى الحامل بغير إشكال.»</w:t>
      </w:r>
      <w:r>
        <w:rPr>
          <w:rFonts w:cs="Abz-2 (Badr)"/>
          <w:color w:val="000000" w:themeColor="text1"/>
          <w:sz w:val="28"/>
          <w:szCs w:val="28"/>
          <w:vertAlign w:val="superscript"/>
          <w:rtl/>
          <w:lang w:bidi="ar"/>
        </w:rPr>
        <w:footnoteReference w:id="21"/>
      </w:r>
    </w:p>
    <w:p w14:paraId="7C6E4838" w14:textId="77777777" w:rsidR="00123FCE" w:rsidRDefault="00123FCE" w:rsidP="00123FCE">
      <w:pPr>
        <w:widowControl w:val="0"/>
        <w:bidi/>
        <w:spacing w:after="0" w:line="252"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وأشکل عليه صاحب الرياض حيث قال: </w:t>
      </w:r>
      <w:r>
        <w:rPr>
          <w:rFonts w:cs="Abz-2 (Badr)" w:hint="cs"/>
          <w:color w:val="0070C0"/>
          <w:sz w:val="28"/>
          <w:szCs w:val="28"/>
          <w:rtl/>
          <w:lang w:bidi="fa-IR"/>
        </w:rPr>
        <w:t>«</w:t>
      </w:r>
      <w:r>
        <w:rPr>
          <w:rFonts w:cs="Abz-2 (Badr)" w:hint="cs"/>
          <w:color w:val="0070C0"/>
          <w:sz w:val="28"/>
          <w:szCs w:val="28"/>
          <w:rtl/>
          <w:lang w:bidi="ar"/>
        </w:rPr>
        <w:t>غاية ما يستفاد منها الإنفاق عليها، الأعمّ‌ من كونه لها أو لولدها، وليس في شيء منها تعيين أحدهما، ولذا اختلف فيه كلام أصحابنا.»</w:t>
      </w:r>
      <w:r>
        <w:rPr>
          <w:rFonts w:cs="Abz-2 (Badr)"/>
          <w:color w:val="000000" w:themeColor="text1"/>
          <w:sz w:val="28"/>
          <w:szCs w:val="28"/>
          <w:vertAlign w:val="superscript"/>
          <w:rtl/>
          <w:lang w:bidi="ar"/>
        </w:rPr>
        <w:footnoteReference w:id="22"/>
      </w:r>
    </w:p>
    <w:p w14:paraId="2DD58FFF" w14:textId="77777777" w:rsidR="00123FCE" w:rsidRDefault="00123FCE" w:rsidP="00123FCE">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ف</w:t>
      </w:r>
      <w:r>
        <w:rPr>
          <w:rFonts w:cs="Abz-2 (Badr)" w:hint="cs"/>
          <w:color w:val="000000" w:themeColor="text1"/>
          <w:sz w:val="28"/>
          <w:szCs w:val="28"/>
          <w:rtl/>
          <w:lang w:bidi="fa-IR"/>
        </w:rPr>
        <w:t>إ</w:t>
      </w:r>
      <w:r>
        <w:rPr>
          <w:rFonts w:cs="Abz-2 (Badr)" w:hint="cs"/>
          <w:color w:val="000000" w:themeColor="text1"/>
          <w:sz w:val="28"/>
          <w:szCs w:val="28"/>
          <w:rtl/>
        </w:rPr>
        <w:t xml:space="preserve">نّ ما أفاده مبنيّ في الواقع على ما تقدّم منّا من أنّ النفقة تسلّم إلى المطلّقة علی کلّ حال، سواء كانت مختصّة بالمطلّقة </w:t>
      </w:r>
      <w:r>
        <w:rPr>
          <w:rFonts w:cs="Abz-2 (Badr)" w:hint="cs"/>
          <w:color w:val="000000" w:themeColor="text1"/>
          <w:sz w:val="28"/>
          <w:szCs w:val="28"/>
          <w:rtl/>
        </w:rPr>
        <w:lastRenderedPageBreak/>
        <w:t>أو بالحمل، لأنّ إيصالها إلى الحمل ـ بناءً على اختصاصها به ـ لا يكون إلا عن طريقها، وما ورد في الآية الشريفة والأخبار إنّما هو بيان وجوب الإنفاق على المطلّقة الحامل، ولا دلالة فيه على اختصاص النفقة بها بعنوانها.</w:t>
      </w:r>
    </w:p>
    <w:p w14:paraId="7501E2A7" w14:textId="77777777" w:rsidR="00123FCE" w:rsidRDefault="00123FCE" w:rsidP="00123FCE">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وأمّا الأدلّة التي ذكرها الشيخ لاختصاص النفقة بالحمل فليست تامّة أيضاً؛ فإنّ مجرّد كون المطلّقة تستحقّ النفقة في حال الحمل دون غيره، لا يلازم كون النفقة للحمل بعنوانه، بل يمكن أن يكون الحمل جهة تقييديّة لاختصاص النفقة بالمطلّقة نفسها. ويؤيّد ذلك تشبيهه المسألة بنفقة الزوجة التي تنتفي بانتفاء الزوجيّة، فإنّ النفقة هناك ثابتة للزوجة، والزوجيّة إنّما هي جهة تقييديّة لذلك.</w:t>
      </w:r>
    </w:p>
    <w:p w14:paraId="646129A3" w14:textId="77777777" w:rsidR="00123FCE" w:rsidRDefault="00123FCE" w:rsidP="00123FCE">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t>وأمّا ما استدلّ به من أنّ الولد إذا ولد كانت نفقته على أبيه فکذلك قبل ولادته، فلا ينهض للدلالة على أنّ النفقة المذكورة في الآية الشريفة والأخبار الثابتة لمدّة الحمل مختصّة به؛ كما أنّ الزوج إذا كانت زوجته حاملاً وجب عليه الإنفاق عليها، ولم يقل أحد بأنّ عليه نفقتين: نفقة للزوجة وأُخرى للحمل.</w:t>
      </w:r>
    </w:p>
    <w:p w14:paraId="7E872D8D" w14:textId="77777777" w:rsidR="00123FCE" w:rsidRDefault="00123FCE" w:rsidP="00123FCE">
      <w:pPr>
        <w:widowControl w:val="0"/>
        <w:bidi/>
        <w:spacing w:after="0" w:line="252" w:lineRule="auto"/>
        <w:ind w:firstLine="284"/>
        <w:jc w:val="both"/>
        <w:rPr>
          <w:rFonts w:cs="Abz-2 (Badr)"/>
          <w:color w:val="000000" w:themeColor="text1"/>
          <w:sz w:val="28"/>
          <w:szCs w:val="28"/>
        </w:rPr>
      </w:pPr>
      <w:r>
        <w:rPr>
          <w:rFonts w:cs="Abz-2 (Badr)" w:hint="cs"/>
          <w:color w:val="000000" w:themeColor="text1"/>
          <w:sz w:val="28"/>
          <w:szCs w:val="28"/>
          <w:rtl/>
        </w:rPr>
        <w:t>نعم، إنّ نفقة المرأة الحامل تختلف کمّاً وكيفاً عن نفقة الحائل لما يطرأ عليها من احتياجات زائدة بسبب وجود الحمل، ومع ذلك لم يقل أحد بأنّه إذا كان للحمل مال، تؤخذ تلك الزيادة منه؛ لأنّ نفقة أيّام الحمل إنّما هي نفقة الزوجة نفسها لا نفقة الحمل، وإن كان الحمل هو السبب في زيادة احتياجاتها.</w:t>
      </w:r>
    </w:p>
    <w:p w14:paraId="22EB642C" w14:textId="77777777" w:rsidR="00123FCE" w:rsidRDefault="00123FCE" w:rsidP="00123FCE">
      <w:pPr>
        <w:widowControl w:val="0"/>
        <w:bidi/>
        <w:spacing w:after="0" w:line="252" w:lineRule="auto"/>
        <w:ind w:firstLine="284"/>
        <w:jc w:val="both"/>
        <w:rPr>
          <w:rFonts w:cs="Abz-2 (Badr)"/>
          <w:color w:val="000000" w:themeColor="text1"/>
          <w:sz w:val="28"/>
          <w:szCs w:val="28"/>
        </w:rPr>
      </w:pPr>
      <w:r>
        <w:rPr>
          <w:rFonts w:cs="Abz-2 (Badr)" w:hint="cs"/>
          <w:color w:val="000000" w:themeColor="text1"/>
          <w:sz w:val="28"/>
          <w:szCs w:val="28"/>
          <w:rtl/>
        </w:rPr>
        <w:t>وعليه فلا بُعد في أن يقال: إنّ النفقة ثابتة للمطلّقة الحامل بعنوانها، غير أنّ مقدارها وكيفيّتها يتحدّدان بلحاظ كونها حاملاً.</w:t>
      </w:r>
    </w:p>
    <w:p w14:paraId="3B6EBFD4" w14:textId="77777777" w:rsidR="00123FCE" w:rsidRDefault="00123FCE" w:rsidP="00123FCE">
      <w:pPr>
        <w:widowControl w:val="0"/>
        <w:bidi/>
        <w:spacing w:after="0" w:line="252" w:lineRule="auto"/>
        <w:ind w:firstLine="284"/>
        <w:jc w:val="both"/>
        <w:rPr>
          <w:rFonts w:cs="Abz-2 (Badr)"/>
          <w:color w:val="000000" w:themeColor="text1"/>
          <w:sz w:val="28"/>
          <w:szCs w:val="28"/>
        </w:rPr>
      </w:pPr>
      <w:r>
        <w:rPr>
          <w:rFonts w:cs="Abz-2 (Badr)" w:hint="cs"/>
          <w:color w:val="000000" w:themeColor="text1"/>
          <w:sz w:val="28"/>
          <w:szCs w:val="28"/>
          <w:rtl/>
        </w:rPr>
        <w:t>وبه يتّضح وجه ما ذكرناه سابقاً من شمول الآية الشريفة للمطلّقة الرجعيّة الحامل أيضاً؛ إذ وإن كانت المطلّقة الرجعيّة تستحقّ النفقة على كلّ حال، إلا أنّ نفقتها في حال الحمل تختلف عن نفقتها في غير حال الحمل كمّاً وكيفاً.</w:t>
      </w:r>
    </w:p>
    <w:p w14:paraId="22C20BAC" w14:textId="77777777" w:rsidR="00123FCE" w:rsidRDefault="00123FCE" w:rsidP="00123FCE">
      <w:pPr>
        <w:widowControl w:val="0"/>
        <w:bidi/>
        <w:spacing w:after="0" w:line="252" w:lineRule="auto"/>
        <w:ind w:firstLine="284"/>
        <w:jc w:val="both"/>
        <w:rPr>
          <w:rFonts w:cs="Abz-2 (Badr)"/>
          <w:color w:val="000000" w:themeColor="text1"/>
          <w:sz w:val="28"/>
          <w:szCs w:val="28"/>
        </w:rPr>
      </w:pPr>
      <w:r>
        <w:rPr>
          <w:rFonts w:cs="Abz-2 (Badr)" w:hint="cs"/>
          <w:color w:val="000000" w:themeColor="text1"/>
          <w:sz w:val="28"/>
          <w:szCs w:val="28"/>
          <w:rtl/>
        </w:rPr>
        <w:t>وأمّا ما ورد في بعض الأخبار من أنّ النفقة تكون من مال الحمل، فإنّما هو في مورد ما إذا كان الأب قد توفّي، وسيأتي الكلام فيه إن شاء الله تعالى ولا ارتباط له بمحلّ البحث.</w:t>
      </w:r>
    </w:p>
    <w:p w14:paraId="09468F4B" w14:textId="77777777" w:rsidR="00123FCE" w:rsidRDefault="00123FCE" w:rsidP="00123FCE">
      <w:pPr>
        <w:widowControl w:val="0"/>
        <w:bidi/>
        <w:spacing w:after="0" w:line="252" w:lineRule="auto"/>
        <w:ind w:firstLine="284"/>
        <w:jc w:val="both"/>
        <w:rPr>
          <w:rFonts w:cs="Abz-2 (Badr)"/>
          <w:color w:val="000000" w:themeColor="text1"/>
          <w:sz w:val="28"/>
          <w:szCs w:val="28"/>
        </w:rPr>
      </w:pPr>
    </w:p>
    <w:p w14:paraId="72F3E07F" w14:textId="77777777" w:rsidR="00123FCE" w:rsidRDefault="00123FCE" w:rsidP="00123FCE">
      <w:pPr>
        <w:widowControl w:val="0"/>
        <w:bidi/>
        <w:spacing w:after="0" w:line="252" w:lineRule="auto"/>
        <w:ind w:firstLine="284"/>
        <w:jc w:val="both"/>
        <w:rPr>
          <w:rFonts w:cs="Abz-2 (Badr)"/>
          <w:color w:val="000000" w:themeColor="text1"/>
          <w:sz w:val="28"/>
          <w:szCs w:val="28"/>
        </w:rPr>
      </w:pPr>
    </w:p>
    <w:p w14:paraId="10F86771"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p>
    <w:p w14:paraId="24A524E8" w14:textId="77777777" w:rsidR="00123FCE" w:rsidRDefault="00123FCE" w:rsidP="00123FCE">
      <w:pPr>
        <w:widowControl w:val="0"/>
        <w:bidi/>
        <w:spacing w:after="0" w:line="252" w:lineRule="auto"/>
        <w:ind w:firstLine="284"/>
        <w:jc w:val="both"/>
        <w:rPr>
          <w:rFonts w:cs="Abz-2 (Badr)" w:hint="cs"/>
          <w:color w:val="000000" w:themeColor="text1"/>
          <w:sz w:val="28"/>
          <w:szCs w:val="28"/>
          <w:rtl/>
          <w:lang w:bidi="fa-IR"/>
        </w:rPr>
      </w:pPr>
    </w:p>
    <w:p w14:paraId="6E859D5D" w14:textId="77777777" w:rsidR="00123FCE" w:rsidRDefault="00123FCE" w:rsidP="00123FCE">
      <w:pPr>
        <w:widowControl w:val="0"/>
        <w:bidi/>
        <w:spacing w:after="0" w:line="252" w:lineRule="auto"/>
        <w:ind w:firstLine="284"/>
        <w:jc w:val="both"/>
        <w:rPr>
          <w:rFonts w:cs="Abz-2 (Badr)"/>
          <w:color w:val="000000" w:themeColor="text1"/>
          <w:sz w:val="28"/>
          <w:szCs w:val="28"/>
          <w:lang w:bidi="fa-IR"/>
        </w:rPr>
      </w:pPr>
    </w:p>
    <w:p w14:paraId="2AD04477" w14:textId="7D63A4A4" w:rsidR="00B706A3" w:rsidRPr="00123FCE" w:rsidRDefault="00B706A3" w:rsidP="00123FCE">
      <w:pPr>
        <w:rPr>
          <w:rtl/>
        </w:rPr>
      </w:pPr>
    </w:p>
    <w:sectPr w:rsidR="00B706A3" w:rsidRPr="00123FCE"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28489" w14:textId="77777777" w:rsidR="00D708AC" w:rsidRDefault="00D708AC" w:rsidP="00F71127">
      <w:pPr>
        <w:spacing w:after="0" w:line="240" w:lineRule="auto"/>
      </w:pPr>
      <w:r>
        <w:separator/>
      </w:r>
    </w:p>
  </w:endnote>
  <w:endnote w:type="continuationSeparator" w:id="0">
    <w:p w14:paraId="0ECF43F9" w14:textId="77777777" w:rsidR="00D708AC" w:rsidRDefault="00D708AC"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F508" w14:textId="77777777" w:rsidR="00A1665A" w:rsidRDefault="00A166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D312C" w14:textId="77777777" w:rsidR="00A1665A" w:rsidRDefault="00A16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2472C" w14:textId="77777777" w:rsidR="00D708AC" w:rsidRDefault="00D708AC" w:rsidP="00EE25C0">
      <w:pPr>
        <w:bidi/>
        <w:spacing w:after="0" w:line="240" w:lineRule="auto"/>
      </w:pPr>
      <w:r>
        <w:separator/>
      </w:r>
    </w:p>
  </w:footnote>
  <w:footnote w:type="continuationSeparator" w:id="0">
    <w:p w14:paraId="5432BBCE" w14:textId="77777777" w:rsidR="00D708AC" w:rsidRDefault="00D708AC" w:rsidP="00F71127">
      <w:pPr>
        <w:bidi/>
        <w:spacing w:after="0" w:line="240" w:lineRule="auto"/>
      </w:pPr>
      <w:r>
        <w:continuationSeparator/>
      </w:r>
    </w:p>
  </w:footnote>
  <w:footnote w:id="1">
    <w:p w14:paraId="16F2E4C2" w14:textId="77777777" w:rsidR="00123FCE" w:rsidRDefault="00123FCE" w:rsidP="00123FCE">
      <w:pPr>
        <w:pStyle w:val="FootnoteText"/>
        <w:bidi/>
        <w:jc w:val="both"/>
        <w:rPr>
          <w:rFonts w:cs="Abz-2 (Badr)"/>
          <w:lang w:bidi="fa-IR"/>
        </w:rPr>
      </w:pPr>
      <w:r>
        <w:rPr>
          <w:rStyle w:val="FootnoteReference"/>
          <w:rFonts w:cs="Abz-2 (Badr)"/>
        </w:rPr>
        <w:footnoteRef/>
      </w:r>
      <w:r>
        <w:rPr>
          <w:rFonts w:cs="Abz-2 (Badr)"/>
        </w:rPr>
        <w:t xml:space="preserve"> </w:t>
      </w:r>
      <w:r>
        <w:rPr>
          <w:rFonts w:cs="Abz-2 (Badr)" w:hint="cs"/>
          <w:rtl/>
        </w:rPr>
        <w:t>ـ مبسوط،ج6،ص28.</w:t>
      </w:r>
    </w:p>
  </w:footnote>
  <w:footnote w:id="2">
    <w:p w14:paraId="7F3EB692"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المهذّب،ج2،ص348 ـ مختلف الشيعة،ج7،ص324.</w:t>
      </w:r>
    </w:p>
  </w:footnote>
  <w:footnote w:id="3">
    <w:p w14:paraId="23EF05E9"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غنية النزوع،ج1،ص385.</w:t>
      </w:r>
    </w:p>
  </w:footnote>
  <w:footnote w:id="4">
    <w:p w14:paraId="23C293B0"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السرائر،ج2،ص656.</w:t>
      </w:r>
    </w:p>
  </w:footnote>
  <w:footnote w:id="5">
    <w:p w14:paraId="7AA88AD2"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الوسيلة،ص328.</w:t>
      </w:r>
    </w:p>
  </w:footnote>
  <w:footnote w:id="6">
    <w:p w14:paraId="2EE289DC"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 في الفقه،ص313.</w:t>
      </w:r>
    </w:p>
  </w:footnote>
  <w:footnote w:id="7">
    <w:p w14:paraId="43CF823B"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الخلاف،ج5،ص120.</w:t>
      </w:r>
    </w:p>
  </w:footnote>
  <w:footnote w:id="8">
    <w:p w14:paraId="0AC3EBF3"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النهاية في مجرّد الفقه والفتاوی،ص535.</w:t>
      </w:r>
    </w:p>
  </w:footnote>
  <w:footnote w:id="9">
    <w:p w14:paraId="193F8CF1"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الحدائق الناضرة،ج25،ص111.</w:t>
      </w:r>
    </w:p>
  </w:footnote>
  <w:footnote w:id="10">
    <w:p w14:paraId="360EADDA"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نهاية المرام،ج1،ص479.</w:t>
      </w:r>
    </w:p>
  </w:footnote>
  <w:footnote w:id="11">
    <w:p w14:paraId="6C3055CA"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رياض المسائل،ج11،ص175.</w:t>
      </w:r>
    </w:p>
  </w:footnote>
  <w:footnote w:id="12">
    <w:p w14:paraId="15581F2C"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مبسوط،ج6،ص28.</w:t>
      </w:r>
    </w:p>
  </w:footnote>
  <w:footnote w:id="13">
    <w:p w14:paraId="70B086F7"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المهذّب،ج2،ص348 ـ مختلف الشيعة،ج7،ص324.</w:t>
      </w:r>
    </w:p>
  </w:footnote>
  <w:footnote w:id="14">
    <w:p w14:paraId="3F36A379"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غنية النزوع،ج1،ص385.</w:t>
      </w:r>
    </w:p>
  </w:footnote>
  <w:footnote w:id="15">
    <w:p w14:paraId="2E2A289B"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السرائر،ج2،ص656.</w:t>
      </w:r>
    </w:p>
  </w:footnote>
  <w:footnote w:id="16">
    <w:p w14:paraId="22649F5F"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الوسيلة،ص328.</w:t>
      </w:r>
    </w:p>
  </w:footnote>
  <w:footnote w:id="17">
    <w:p w14:paraId="0942C9EB"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 في الفقه،ص313.</w:t>
      </w:r>
    </w:p>
  </w:footnote>
  <w:footnote w:id="18">
    <w:p w14:paraId="6248FE02"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الخلاف،ج5،ص120.</w:t>
      </w:r>
    </w:p>
  </w:footnote>
  <w:footnote w:id="19">
    <w:p w14:paraId="25457110"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النهاية في مجرّد الفقه والفتاوی،ص535.</w:t>
      </w:r>
    </w:p>
  </w:footnote>
  <w:footnote w:id="20">
    <w:p w14:paraId="740F4096"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الحدائق الناضرة،ج25،ص111.</w:t>
      </w:r>
    </w:p>
  </w:footnote>
  <w:footnote w:id="21">
    <w:p w14:paraId="082DA92A"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نهاية المرام،ج1،ص479.</w:t>
      </w:r>
    </w:p>
  </w:footnote>
  <w:footnote w:id="22">
    <w:p w14:paraId="5ABF6EAC" w14:textId="77777777" w:rsidR="00123FCE" w:rsidRDefault="00123FCE" w:rsidP="00123FCE">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رياض المسائل،ج11،ص175.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9063" w14:textId="77777777" w:rsidR="00A1665A" w:rsidRDefault="00A166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4751DF50"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123FCE">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123FCE">
                            <w:rPr>
                              <w:rFonts w:cs="B Mehr" w:hint="cs"/>
                              <w:rtl/>
                              <w:lang w:bidi="fa-IR"/>
                            </w:rPr>
                            <w:t>4</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4751DF50"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06A3">
                      <w:rPr>
                        <w:rFonts w:cs="B Mehr" w:hint="cs"/>
                        <w:rtl/>
                        <w:lang w:bidi="fa-IR"/>
                      </w:rPr>
                      <w:t xml:space="preserve"> </w:t>
                    </w:r>
                    <w:r w:rsidR="00E54A06">
                      <w:rPr>
                        <w:rFonts w:cs="B Mehr" w:hint="cs"/>
                        <w:rtl/>
                        <w:lang w:bidi="fa-IR"/>
                      </w:rPr>
                      <w:t xml:space="preserve"> </w:t>
                    </w:r>
                    <w:r w:rsidR="00A1665A">
                      <w:rPr>
                        <w:rFonts w:cs="B Mehr" w:hint="cs"/>
                        <w:rtl/>
                        <w:lang w:bidi="fa-IR"/>
                      </w:rPr>
                      <w:t xml:space="preserve"> </w:t>
                    </w:r>
                    <w:r w:rsidR="008E2CD5">
                      <w:rPr>
                        <w:rFonts w:cs="B Mehr" w:hint="cs"/>
                        <w:rtl/>
                        <w:lang w:bidi="fa-IR"/>
                      </w:rPr>
                      <w:t xml:space="preserve"> </w:t>
                    </w:r>
                    <w:r w:rsidR="00123FCE">
                      <w:rPr>
                        <w:rFonts w:cs="B Mehr" w:hint="cs"/>
                        <w:rtl/>
                        <w:lang w:bidi="fa-IR"/>
                      </w:rPr>
                      <w:t>یک</w:t>
                    </w:r>
                    <w:r w:rsidR="00A835C9">
                      <w:rPr>
                        <w:rFonts w:cs="B Mehr" w:hint="cs"/>
                        <w:rtl/>
                        <w:lang w:bidi="fa-IR"/>
                      </w:rPr>
                      <w:t>شنبه</w:t>
                    </w:r>
                    <w:r>
                      <w:rPr>
                        <w:rFonts w:cs="B Mehr" w:hint="cs"/>
                        <w:rtl/>
                        <w:lang w:bidi="fa-IR"/>
                      </w:rPr>
                      <w:t xml:space="preserve"> </w:t>
                    </w:r>
                    <w:r>
                      <w:rPr>
                        <w:rFonts w:cs="B Mehr" w:hint="cs"/>
                        <w:rtl/>
                      </w:rPr>
                      <w:t xml:space="preserve">،   </w:t>
                    </w:r>
                    <w:r w:rsidR="00123FCE">
                      <w:rPr>
                        <w:rFonts w:cs="B Mehr" w:hint="cs"/>
                        <w:rtl/>
                        <w:lang w:bidi="fa-IR"/>
                      </w:rPr>
                      <w:t>4</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737B3" w14:textId="77777777" w:rsidR="00A1665A" w:rsidRDefault="00A1665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21729</TotalTime>
  <Pages>1</Pages>
  <Words>1319</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640</cp:revision>
  <cp:lastPrinted>2025-04-14T09:12:00Z</cp:lastPrinted>
  <dcterms:created xsi:type="dcterms:W3CDTF">2022-10-16T08:36:00Z</dcterms:created>
  <dcterms:modified xsi:type="dcterms:W3CDTF">2025-10-26T09:00:00Z</dcterms:modified>
</cp:coreProperties>
</file>