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7C05" w14:textId="77777777" w:rsidR="00A1665A" w:rsidRDefault="00A1665A" w:rsidP="00A1665A">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C52B90F" w14:textId="77777777" w:rsidR="00A1665A" w:rsidRDefault="00A1665A" w:rsidP="00A1665A">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C926E5C" w14:textId="77777777" w:rsidR="00A1665A" w:rsidRDefault="00A1665A" w:rsidP="00A1665A">
      <w:pPr>
        <w:widowControl w:val="0"/>
        <w:bidi/>
        <w:spacing w:after="0"/>
        <w:jc w:val="center"/>
        <w:rPr>
          <w:rFonts w:cs="B Mitra" w:hint="cs"/>
          <w:b/>
          <w:bCs/>
          <w:sz w:val="32"/>
          <w:szCs w:val="32"/>
          <w:rtl/>
          <w:lang w:bidi="fa-IR"/>
        </w:rPr>
      </w:pPr>
      <w:r>
        <w:rPr>
          <w:rFonts w:cs="B Mitra" w:hint="cs"/>
          <w:b/>
          <w:bCs/>
          <w:sz w:val="32"/>
          <w:szCs w:val="32"/>
          <w:rtl/>
          <w:lang w:bidi="fa-IR"/>
        </w:rPr>
        <w:t>جلسه 859</w:t>
      </w:r>
    </w:p>
    <w:p w14:paraId="58A08747" w14:textId="77777777" w:rsidR="00A1665A" w:rsidRDefault="00A1665A" w:rsidP="00A1665A">
      <w:pPr>
        <w:widowControl w:val="0"/>
        <w:bidi/>
        <w:spacing w:after="0"/>
        <w:ind w:firstLine="284"/>
        <w:jc w:val="both"/>
        <w:rPr>
          <w:rFonts w:cs="Abz-2 (Badr)" w:hint="cs"/>
          <w:sz w:val="28"/>
          <w:szCs w:val="28"/>
          <w:rtl/>
          <w:lang w:bidi="fa-IR"/>
        </w:rPr>
      </w:pPr>
      <w:bookmarkStart w:id="0" w:name="_Hlk159096966"/>
    </w:p>
    <w:bookmarkEnd w:id="0"/>
    <w:p w14:paraId="2172900D" w14:textId="77777777" w:rsidR="00A1665A" w:rsidRDefault="00A1665A" w:rsidP="00A1665A">
      <w:pPr>
        <w:widowControl w:val="0"/>
        <w:bidi/>
        <w:spacing w:after="0"/>
        <w:ind w:left="1701"/>
        <w:jc w:val="both"/>
        <w:rPr>
          <w:rFonts w:cs="Abz-2 (Badr)" w:hint="cs"/>
          <w:color w:val="00B050"/>
          <w:sz w:val="28"/>
          <w:szCs w:val="28"/>
          <w:rtl/>
          <w:lang w:bidi="fa-IR"/>
        </w:rPr>
      </w:pPr>
      <w:r>
        <w:rPr>
          <w:rFonts w:cs="Abz-2 (Badr)" w:hint="cs"/>
          <w:color w:val="00B050"/>
          <w:sz w:val="28"/>
          <w:szCs w:val="28"/>
          <w:rtl/>
          <w:lang w:bidi="ar"/>
        </w:rPr>
        <w:t>قال المحقّق الحلّي: «نعم، لو كانت المطلّقة حاملاً، لزم الإنفاق عليها حتّى تضع، وكذا السكنى.</w:t>
      </w:r>
    </w:p>
    <w:p w14:paraId="430D13B8" w14:textId="77777777" w:rsidR="00A1665A" w:rsidRDefault="00A1665A" w:rsidP="00A1665A">
      <w:pPr>
        <w:widowControl w:val="0"/>
        <w:bidi/>
        <w:spacing w:after="0"/>
        <w:ind w:left="1701"/>
        <w:jc w:val="both"/>
        <w:rPr>
          <w:rFonts w:cs="Abz-2 (Badr)"/>
          <w:color w:val="00B050"/>
          <w:sz w:val="28"/>
          <w:szCs w:val="28"/>
          <w:lang w:bidi="ar"/>
        </w:rPr>
      </w:pPr>
      <w:r>
        <w:rPr>
          <w:rFonts w:cs="Abz-2 (Badr)" w:hint="cs"/>
          <w:color w:val="00B050"/>
          <w:sz w:val="28"/>
          <w:szCs w:val="28"/>
          <w:rtl/>
          <w:lang w:bidi="ar"/>
        </w:rPr>
        <w:t>وهل النفقة للحمل أو لأُمّه؟ قال الشيخ رحمه الله: هي للحمل.»</w:t>
      </w:r>
      <w:r>
        <w:rPr>
          <w:rFonts w:cs="Abz-2 (Badr)"/>
          <w:color w:val="000000" w:themeColor="text1"/>
          <w:sz w:val="28"/>
          <w:szCs w:val="28"/>
          <w:vertAlign w:val="superscript"/>
          <w:rtl/>
          <w:lang w:bidi="ar"/>
        </w:rPr>
        <w:footnoteReference w:id="1"/>
      </w:r>
    </w:p>
    <w:p w14:paraId="67BA613E" w14:textId="77777777" w:rsidR="00A1665A" w:rsidRDefault="00A1665A" w:rsidP="00A1665A">
      <w:pPr>
        <w:widowControl w:val="0"/>
        <w:bidi/>
        <w:spacing w:after="0"/>
        <w:ind w:left="1701"/>
        <w:jc w:val="both"/>
        <w:rPr>
          <w:rFonts w:cs="Abz-2 (Badr)" w:hint="cs"/>
          <w:color w:val="00B050"/>
          <w:sz w:val="28"/>
          <w:szCs w:val="28"/>
          <w:rtl/>
          <w:lang w:bidi="fa-IR"/>
        </w:rPr>
      </w:pPr>
    </w:p>
    <w:p w14:paraId="74317AD6" w14:textId="77777777" w:rsidR="00A1665A" w:rsidRDefault="00A1665A" w:rsidP="00A1665A">
      <w:pPr>
        <w:widowControl w:val="0"/>
        <w:bidi/>
        <w:spacing w:after="0" w:line="252" w:lineRule="auto"/>
        <w:ind w:firstLine="284"/>
        <w:jc w:val="both"/>
        <w:rPr>
          <w:rFonts w:cs="Cambria" w:hint="cs"/>
          <w:color w:val="000000" w:themeColor="text1"/>
          <w:sz w:val="26"/>
          <w:szCs w:val="26"/>
          <w:rtl/>
          <w:lang w:bidi="ar"/>
        </w:rPr>
      </w:pPr>
      <w:bookmarkStart w:id="1" w:name="_Hlk212199498"/>
      <w:r>
        <w:rPr>
          <w:rFonts w:cs="Abz-2 (Badr)" w:hint="cs"/>
          <w:color w:val="000000" w:themeColor="text1"/>
          <w:sz w:val="28"/>
          <w:szCs w:val="28"/>
          <w:rtl/>
          <w:lang w:bidi="fa-IR"/>
        </w:rPr>
        <w:t xml:space="preserve">دليل اصلی وجوب نفقه مطلقه حامل تا وضع حمل، آيه شريفه است که در آن در خصوص زنان مطلقه آمده است: </w:t>
      </w:r>
      <w:r>
        <w:rPr>
          <w:rFonts w:cs="QuranTaha" w:hint="cs"/>
          <w:color w:val="BF8F00" w:themeColor="accent4" w:themeShade="BF"/>
          <w:sz w:val="26"/>
          <w:szCs w:val="26"/>
          <w:rtl/>
        </w:rPr>
        <w:t>«وَإِنْ كُنَّ أُولَاتِ حَمْلٍ فَأَنْفِقُوا عَلَيْهِنَّ حَتَّىٰ يَضَعْنَ حَمْلَهُنَّ»</w:t>
      </w:r>
      <w:r>
        <w:rPr>
          <w:rFonts w:cs="Abz-2 (Badr)"/>
          <w:color w:val="000000" w:themeColor="text1"/>
          <w:sz w:val="28"/>
          <w:szCs w:val="28"/>
          <w:vertAlign w:val="superscript"/>
          <w:rtl/>
          <w:lang w:bidi="fa-IR"/>
        </w:rPr>
        <w:footnoteReference w:id="2"/>
      </w:r>
      <w:r>
        <w:rPr>
          <w:rFonts w:cs="Abz-2 (Badr)" w:hint="cs"/>
          <w:color w:val="000000" w:themeColor="text1"/>
          <w:sz w:val="28"/>
          <w:szCs w:val="28"/>
          <w:rtl/>
          <w:lang w:bidi="fa-IR"/>
        </w:rPr>
        <w:t>.</w:t>
      </w:r>
    </w:p>
    <w:p w14:paraId="2942527D" w14:textId="77777777" w:rsidR="00A1665A" w:rsidRDefault="00A1665A" w:rsidP="00A1665A">
      <w:pPr>
        <w:widowControl w:val="0"/>
        <w:bidi/>
        <w:spacing w:after="0" w:line="252" w:lineRule="auto"/>
        <w:ind w:firstLine="284"/>
        <w:jc w:val="both"/>
        <w:rPr>
          <w:rFonts w:cs="Abz-2 (Badr)"/>
          <w:color w:val="0070C0"/>
          <w:sz w:val="28"/>
          <w:szCs w:val="28"/>
          <w:rtl/>
          <w:lang w:bidi="fa-IR"/>
        </w:rPr>
      </w:pPr>
      <w:r>
        <w:rPr>
          <w:rFonts w:cs="Abz-2 (Badr)" w:hint="cs"/>
          <w:color w:val="000000" w:themeColor="text1"/>
          <w:sz w:val="28"/>
          <w:szCs w:val="28"/>
          <w:rtl/>
          <w:lang w:bidi="fa-IR"/>
        </w:rPr>
        <w:t>شيخ طوسی در تفسير آيه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«أمر من الله تعالى بالإنفاق على الحامل المطلّقة، سواء كانت رجعيّة أو مبتوتة، ولا خلاف في ذلك، وإنّما يجب أن ينفق عليها بسبب ما في بطنها، وإنّما تسقط نفقتها بالوضع.»</w:t>
      </w:r>
      <w:r>
        <w:rPr>
          <w:rFonts w:cs="Abz-2 (Badr)"/>
          <w:color w:val="000000" w:themeColor="text1"/>
          <w:sz w:val="28"/>
          <w:szCs w:val="28"/>
          <w:vertAlign w:val="superscript"/>
          <w:rtl/>
          <w:lang w:bidi="ar"/>
        </w:rPr>
        <w:footnoteReference w:id="3"/>
      </w:r>
    </w:p>
    <w:p w14:paraId="70634ADE"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ظاهر کلام ايشان در تبيان اين است که نفقه، به مطلقه تعلق دارد، هرچند سبب اين که نفقه به وی تعلّق دارد، حمل وی است.</w:t>
      </w:r>
    </w:p>
    <w:p w14:paraId="2C3C0F1A" w14:textId="77777777" w:rsidR="00A1665A" w:rsidRDefault="00A1665A" w:rsidP="00A1665A">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اما فخر رازی در تفسير آيه می</w:t>
      </w:r>
      <w:r>
        <w:rPr>
          <w:rFonts w:cs="Abz-2 (Badr)" w:hint="cs"/>
          <w:color w:val="000000" w:themeColor="text1"/>
          <w:sz w:val="28"/>
          <w:szCs w:val="28"/>
          <w:rtl/>
          <w:lang w:bidi="fa-IR"/>
        </w:rPr>
        <w:softHyphen/>
        <w:t xml:space="preserve">گويد: </w:t>
      </w:r>
      <w:r>
        <w:rPr>
          <w:rFonts w:cs="Abz-2 (Badr)" w:hint="cs"/>
          <w:color w:val="0070C0"/>
          <w:sz w:val="28"/>
          <w:szCs w:val="28"/>
          <w:rtl/>
          <w:lang w:bidi="fa-IR"/>
        </w:rPr>
        <w:t>«هذا بيان حكم المطلّقة البائنة، لأنّ الرجعيّة تستحقّ النفقة وإن لم تكن حاملاً، وإن كانت مطلّقة ثلاثاً أو مختلعة، فلا نفقة لها إلا أن تكون حاملاً.»</w:t>
      </w:r>
      <w:r>
        <w:rPr>
          <w:rFonts w:cs="Abz-2 (Badr)"/>
          <w:color w:val="000000" w:themeColor="text1"/>
          <w:sz w:val="28"/>
          <w:szCs w:val="28"/>
          <w:vertAlign w:val="superscript"/>
          <w:rtl/>
          <w:lang w:bidi="ar"/>
        </w:rPr>
        <w:footnoteReference w:id="4"/>
      </w:r>
    </w:p>
    <w:p w14:paraId="171C1404" w14:textId="77777777" w:rsidR="00A1665A" w:rsidRDefault="00A1665A" w:rsidP="00A1665A">
      <w:pPr>
        <w:widowControl w:val="0"/>
        <w:bidi/>
        <w:spacing w:after="0" w:line="252" w:lineRule="auto"/>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 xml:space="preserve">ولی حق اين است که آيه شريفه عموم دارد و هم مطلقه رجعيه و هم مطلقه بائن را شامل است و اين که مطلقه رجعيه </w:t>
      </w:r>
      <w:r>
        <w:rPr>
          <w:rFonts w:cs="Abz-2 (Badr)" w:hint="cs"/>
          <w:color w:val="000000" w:themeColor="text1"/>
          <w:spacing w:val="-4"/>
          <w:sz w:val="28"/>
          <w:szCs w:val="28"/>
          <w:rtl/>
          <w:lang w:bidi="fa-IR"/>
        </w:rPr>
        <w:lastRenderedPageBreak/>
        <w:t>در غير صورت حمل نيز نفقه دارد، منافاتی با اين مطلب ندارد. حداکثر اين است که مفهوم آيه که دلالت بر عدم نفقه در مطلّقه غير حامل به نحو مطلق دارد، با ادله</w:t>
      </w:r>
      <w:r>
        <w:rPr>
          <w:rFonts w:cs="Abz-2 (Badr)" w:hint="cs"/>
          <w:color w:val="000000" w:themeColor="text1"/>
          <w:spacing w:val="-4"/>
          <w:sz w:val="28"/>
          <w:szCs w:val="28"/>
          <w:rtl/>
          <w:lang w:bidi="fa-IR"/>
        </w:rPr>
        <w:softHyphen/>
        <w:t>ای که سابقاً در خصوص وجوب نفقه مطلقه رجعيه گذشت، تقييد می</w:t>
      </w:r>
      <w:r>
        <w:rPr>
          <w:rFonts w:cs="Abz-2 (Badr)" w:hint="cs"/>
          <w:color w:val="000000" w:themeColor="text1"/>
          <w:spacing w:val="-4"/>
          <w:sz w:val="28"/>
          <w:szCs w:val="28"/>
          <w:rtl/>
          <w:lang w:bidi="fa-IR"/>
        </w:rPr>
        <w:softHyphen/>
        <w:t>خورد.</w:t>
      </w:r>
    </w:p>
    <w:p w14:paraId="2B38A071"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اگر گفته شود: وجوب نفقه مطلقه رجعيه غير حامل نيز متوقف بر اخذ به اطلاق ادله</w:t>
      </w:r>
      <w:r>
        <w:rPr>
          <w:rFonts w:cs="Abz-2 (Badr)" w:hint="cs"/>
          <w:color w:val="000000" w:themeColor="text1"/>
          <w:sz w:val="28"/>
          <w:szCs w:val="28"/>
          <w:rtl/>
          <w:lang w:bidi="fa-IR"/>
        </w:rPr>
        <w:softHyphen/>
        <w:t>ای است که دلالت بر وجوب نفقه مطلقه رجعيه می</w:t>
      </w:r>
      <w:r>
        <w:rPr>
          <w:rFonts w:cs="Abz-2 (Badr)" w:hint="cs"/>
          <w:color w:val="000000" w:themeColor="text1"/>
          <w:sz w:val="28"/>
          <w:szCs w:val="28"/>
          <w:rtl/>
          <w:lang w:bidi="fa-IR"/>
        </w:rPr>
        <w:softHyphen/>
        <w:t>کنند. بنابر اين اطلاق مفهوم آيه با اطلاق آن اخبار در تعارض بوده و وجهی برای تقديم اطلاق اخبار بر اطلاق مفهوم آيه شريفه وجود ندارد، و پس از سقوط اين دو اطلاق از اعتبار، مقتضای اصل عدم وجوب نفقه مطلقه رجعيه غير حامل خواهد بود.</w:t>
      </w:r>
    </w:p>
    <w:p w14:paraId="366FD15D"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 پاسخ اين است که اطلاقی که در اخبار در خصوص وجوب نفقه مطلقه رجعيه غير حامل وجود دارد، مربوط به منطوق آنهاست، در حالی که اطلاقی که در آيه شريفه در خصوص عدم نفقه مطلقه رجعيه غير حامل وجود دارد، از مفهوم آن استفاده می</w:t>
      </w:r>
      <w:r>
        <w:rPr>
          <w:rFonts w:cs="Abz-2 (Badr)" w:hint="cs"/>
          <w:color w:val="000000" w:themeColor="text1"/>
          <w:sz w:val="28"/>
          <w:szCs w:val="28"/>
          <w:rtl/>
          <w:lang w:bidi="fa-IR"/>
        </w:rPr>
        <w:softHyphen/>
        <w:t>شود و به جهت اظهر بودن منطوق بر مفهوم، می</w:t>
      </w:r>
      <w:r>
        <w:rPr>
          <w:rFonts w:cs="Abz-2 (Badr)" w:hint="cs"/>
          <w:color w:val="000000" w:themeColor="text1"/>
          <w:sz w:val="28"/>
          <w:szCs w:val="28"/>
          <w:rtl/>
          <w:lang w:bidi="fa-IR"/>
        </w:rPr>
        <w:softHyphen/>
        <w:t>توان مدلول اخبار را بر مدلول آيه شريفه در اين خصوص مقدّم دانست.</w:t>
      </w:r>
    </w:p>
    <w:p w14:paraId="7ABFAD1B"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حتی اگر اين استدلال پذيرفته نشود، می</w:t>
      </w:r>
      <w:r>
        <w:rPr>
          <w:rFonts w:cs="Abz-2 (Badr)" w:hint="cs"/>
          <w:color w:val="000000" w:themeColor="text1"/>
          <w:sz w:val="28"/>
          <w:szCs w:val="28"/>
          <w:rtl/>
          <w:lang w:bidi="fa-IR"/>
        </w:rPr>
        <w:softHyphen/>
        <w:t>توان گفت که پس از سقوط اطلاق هر دو دليل از اعتبار، به عموماتی رجوع می</w:t>
      </w:r>
      <w:r>
        <w:rPr>
          <w:rFonts w:cs="Abz-2 (Badr)" w:hint="cs"/>
          <w:color w:val="000000" w:themeColor="text1"/>
          <w:sz w:val="28"/>
          <w:szCs w:val="28"/>
          <w:rtl/>
          <w:lang w:bidi="fa-IR"/>
        </w:rPr>
        <w:softHyphen/>
        <w:t>شود که دلالت بر اين دارند که مطلقه رجعيه تمام احکام زوجه را داراست که از جمله آنها، نفقه است، و با وجود اين عمومات، نوبت به رجوع به اصل نخواهد رسيد.</w:t>
      </w:r>
    </w:p>
    <w:p w14:paraId="2660DA39"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ميان اخبار نيز رواياتی دال بر وجوب نفقه مطلقه حامل وارد شده است:</w:t>
      </w:r>
    </w:p>
    <w:p w14:paraId="6CA08875" w14:textId="77777777" w:rsidR="00A1665A" w:rsidRDefault="00A1665A" w:rsidP="00A1665A">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1 ـ </w:t>
      </w:r>
      <w:r>
        <w:rPr>
          <w:rFonts w:cs="Abz-2 (Badr)" w:hint="cs"/>
          <w:sz w:val="28"/>
          <w:szCs w:val="28"/>
          <w:rtl/>
          <w:lang w:bidi="fa-IR"/>
        </w:rPr>
        <w:t xml:space="preserve">صحيحة </w:t>
      </w:r>
      <w:r>
        <w:rPr>
          <w:rFonts w:cs="Abz-2 (Badr)" w:hint="cs"/>
          <w:sz w:val="28"/>
          <w:szCs w:val="28"/>
          <w:rtl/>
          <w:lang w:bidi="ar"/>
        </w:rPr>
        <w:t xml:space="preserve">عبدالله بن سنان عن أبي عبدالله(ع): </w:t>
      </w:r>
      <w:r>
        <w:rPr>
          <w:rFonts w:ascii="IRBadr" w:hAnsi="IRBadr" w:cs="Abz-2 (Badr)" w:hint="cs"/>
          <w:color w:val="70AD47" w:themeColor="accent6"/>
          <w:kern w:val="2"/>
          <w:sz w:val="28"/>
          <w:szCs w:val="28"/>
          <w:rtl/>
          <w:lang w:bidi="fa-IR"/>
          <w14:ligatures w14:val="standardContextual"/>
        </w:rPr>
        <w:t>«في الرجل يطلّق امرأته وهي حبلى، قال: أجلها أن تضع حملها وعليه نفقتها حتّى تضع حملها.»</w:t>
      </w:r>
      <w:r>
        <w:rPr>
          <w:rFonts w:cs="Abz-2 (Badr)"/>
          <w:color w:val="000000" w:themeColor="text1"/>
          <w:sz w:val="28"/>
          <w:szCs w:val="28"/>
          <w:vertAlign w:val="superscript"/>
          <w:rtl/>
          <w:lang w:bidi="ar"/>
        </w:rPr>
        <w:footnoteReference w:id="5"/>
      </w:r>
    </w:p>
    <w:p w14:paraId="659FE2D8" w14:textId="77777777" w:rsidR="00A1665A" w:rsidRDefault="00A1665A" w:rsidP="00A1665A">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sz w:val="28"/>
          <w:szCs w:val="28"/>
          <w:rtl/>
          <w:lang w:bidi="ar"/>
        </w:rPr>
        <w:t xml:space="preserve">2 ـ حسنة محمّد بن قيس عن أبي جعفر(ع)، قال: </w:t>
      </w:r>
      <w:r>
        <w:rPr>
          <w:rFonts w:ascii="IRBadr" w:hAnsi="IRBadr" w:cs="Abz-2 (Badr)" w:hint="cs"/>
          <w:color w:val="70AD47" w:themeColor="accent6"/>
          <w:kern w:val="2"/>
          <w:sz w:val="28"/>
          <w:szCs w:val="28"/>
          <w:rtl/>
          <w:lang w:bidi="fa-IR"/>
          <w14:ligatures w14:val="standardContextual"/>
        </w:rPr>
        <w:t>«الحامل أجلها أن تضع حملها وعليه نفقتها بالمعروف حتّى تضع حملها.»</w:t>
      </w:r>
      <w:r>
        <w:rPr>
          <w:rFonts w:cs="Abz-2 (Badr)"/>
          <w:color w:val="000000" w:themeColor="text1"/>
          <w:sz w:val="28"/>
          <w:szCs w:val="28"/>
          <w:vertAlign w:val="superscript"/>
          <w:rtl/>
          <w:lang w:bidi="ar"/>
        </w:rPr>
        <w:footnoteReference w:id="6"/>
      </w:r>
    </w:p>
    <w:p w14:paraId="41CE5980" w14:textId="77777777" w:rsidR="00A1665A" w:rsidRDefault="00A1665A" w:rsidP="00A1665A">
      <w:pPr>
        <w:widowControl w:val="0"/>
        <w:bidi/>
        <w:spacing w:after="0" w:line="252" w:lineRule="auto"/>
        <w:ind w:firstLine="284"/>
        <w:jc w:val="both"/>
        <w:rPr>
          <w:rFonts w:cs="Abz-2 (Badr)" w:hint="cs"/>
          <w:sz w:val="28"/>
          <w:szCs w:val="28"/>
          <w:rtl/>
          <w:lang w:bidi="fa-IR"/>
        </w:rPr>
      </w:pPr>
      <w:r>
        <w:rPr>
          <w:rFonts w:cs="Abz-2 (Badr)" w:hint="cs"/>
          <w:color w:val="000000" w:themeColor="text1"/>
          <w:sz w:val="28"/>
          <w:szCs w:val="28"/>
          <w:rtl/>
          <w:lang w:bidi="fa-IR"/>
        </w:rPr>
        <w:lastRenderedPageBreak/>
        <w:t xml:space="preserve">3 ـ </w:t>
      </w:r>
      <w:r>
        <w:rPr>
          <w:rFonts w:cs="Abz-2 (Badr)" w:hint="cs"/>
          <w:sz w:val="28"/>
          <w:szCs w:val="28"/>
          <w:rtl/>
          <w:lang w:bidi="ar"/>
        </w:rPr>
        <w:t xml:space="preserve">حسنة الحلبي عن أبي عبدالله(ع)، قال: </w:t>
      </w:r>
      <w:r>
        <w:rPr>
          <w:rFonts w:ascii="IRBadr" w:hAnsi="IRBadr" w:cs="Abz-2 (Badr)" w:hint="cs"/>
          <w:color w:val="70AD47" w:themeColor="accent6"/>
          <w:kern w:val="2"/>
          <w:sz w:val="28"/>
          <w:szCs w:val="28"/>
          <w:rtl/>
          <w:lang w:bidi="fa-IR"/>
          <w14:ligatures w14:val="standardContextual"/>
        </w:rPr>
        <w:t>«الحبلى المطلّقة ينفق عليها حتّى تضع حملها...»</w:t>
      </w:r>
      <w:r>
        <w:rPr>
          <w:rFonts w:cs="Abz-2 (Badr)"/>
          <w:color w:val="000000" w:themeColor="text1"/>
          <w:sz w:val="28"/>
          <w:szCs w:val="28"/>
          <w:vertAlign w:val="superscript"/>
          <w:rtl/>
          <w:lang w:bidi="ar"/>
        </w:rPr>
        <w:footnoteReference w:id="7"/>
      </w:r>
    </w:p>
    <w:p w14:paraId="244C65F5" w14:textId="77777777" w:rsidR="00A1665A" w:rsidRDefault="00A1665A" w:rsidP="00A1665A">
      <w:pPr>
        <w:widowControl w:val="0"/>
        <w:bidi/>
        <w:spacing w:after="0" w:line="252" w:lineRule="auto"/>
        <w:ind w:firstLine="284"/>
        <w:jc w:val="both"/>
        <w:rPr>
          <w:rFonts w:cs="Abz-2 (Badr)" w:hint="cs"/>
          <w:sz w:val="28"/>
          <w:szCs w:val="28"/>
          <w:rtl/>
          <w:lang w:bidi="fa-IR"/>
        </w:rPr>
      </w:pPr>
      <w:r>
        <w:rPr>
          <w:rFonts w:cs="Abz-2 (Badr)" w:hint="cs"/>
          <w:color w:val="000000" w:themeColor="text1"/>
          <w:sz w:val="28"/>
          <w:szCs w:val="28"/>
          <w:rtl/>
          <w:lang w:bidi="fa-IR"/>
        </w:rPr>
        <w:t xml:space="preserve">4 ـ </w:t>
      </w:r>
      <w:r>
        <w:rPr>
          <w:rFonts w:cs="Abz-2 (Badr)" w:hint="cs"/>
          <w:sz w:val="28"/>
          <w:szCs w:val="28"/>
          <w:rtl/>
          <w:lang w:bidi="fa-IR"/>
        </w:rPr>
        <w:t xml:space="preserve">معتبرة </w:t>
      </w:r>
      <w:r>
        <w:rPr>
          <w:rFonts w:cs="Abz-2 (Badr)" w:hint="cs"/>
          <w:sz w:val="28"/>
          <w:szCs w:val="28"/>
          <w:rtl/>
          <w:lang w:bidi="ar"/>
        </w:rPr>
        <w:t xml:space="preserve">أبي بصير عن أبي عبدالله(ع)، قال: </w:t>
      </w:r>
      <w:r>
        <w:rPr>
          <w:rFonts w:ascii="IRBadr" w:hAnsi="IRBadr" w:cs="Abz-2 (Badr)" w:hint="cs"/>
          <w:color w:val="70AD47" w:themeColor="accent6"/>
          <w:kern w:val="2"/>
          <w:sz w:val="28"/>
          <w:szCs w:val="28"/>
          <w:rtl/>
          <w:lang w:bidi="fa-IR"/>
          <w14:ligatures w14:val="standardContextual"/>
        </w:rPr>
        <w:t>«سمعته يقول: الحبلى المطلّقة ينفق عليها حتّى تضع حملها...»</w:t>
      </w:r>
      <w:r>
        <w:rPr>
          <w:rFonts w:cs="Abz-2 (Badr)"/>
          <w:color w:val="000000" w:themeColor="text1"/>
          <w:sz w:val="28"/>
          <w:szCs w:val="28"/>
          <w:vertAlign w:val="superscript"/>
          <w:rtl/>
          <w:lang w:bidi="ar"/>
        </w:rPr>
        <w:footnoteReference w:id="8"/>
      </w:r>
    </w:p>
    <w:p w14:paraId="21F03568"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ناقل اين روايت از ابی بصير، علی بن ابی حمزه بطائنی است، اما از آنجا که ناقل از او بزنطی است و بزنطی از اجلاء اصحاب است و احتمال نقل روايت توسط او از يکی از عُمُد واقفه بعد از ثبوت وقف وی بعيد است، اين روايت در نزد ما معتبر است.</w:t>
      </w:r>
    </w:p>
    <w:p w14:paraId="173DA29D" w14:textId="77777777" w:rsidR="00A1665A" w:rsidRDefault="00A1665A" w:rsidP="00A1665A">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sz w:val="28"/>
          <w:szCs w:val="28"/>
          <w:rtl/>
          <w:lang w:bidi="fa-IR"/>
        </w:rPr>
        <w:t xml:space="preserve">5 ـ خبر </w:t>
      </w:r>
      <w:r>
        <w:rPr>
          <w:rFonts w:cs="Abz-2 (Badr)" w:hint="cs"/>
          <w:sz w:val="28"/>
          <w:szCs w:val="28"/>
          <w:rtl/>
          <w:lang w:bidi="ar"/>
        </w:rPr>
        <w:t xml:space="preserve">أبي الصبّاح الكناني عن أبي عبدالله(ع)، قال: </w:t>
      </w:r>
      <w:r>
        <w:rPr>
          <w:rFonts w:ascii="IRBadr" w:hAnsi="IRBadr" w:cs="Abz-2 (Badr)" w:hint="cs"/>
          <w:color w:val="70AD47" w:themeColor="accent6"/>
          <w:kern w:val="2"/>
          <w:sz w:val="28"/>
          <w:szCs w:val="28"/>
          <w:rtl/>
          <w:lang w:bidi="fa-IR"/>
          <w14:ligatures w14:val="standardContextual"/>
        </w:rPr>
        <w:t>«إذا طلّق الرجل امرأته وهي حبلى، أنفق عليها حتّى تضع حملها...»</w:t>
      </w:r>
      <w:r>
        <w:rPr>
          <w:rFonts w:cs="Abz-2 (Badr)"/>
          <w:color w:val="000000" w:themeColor="text1"/>
          <w:sz w:val="28"/>
          <w:szCs w:val="28"/>
          <w:vertAlign w:val="superscript"/>
          <w:rtl/>
          <w:lang w:bidi="ar"/>
        </w:rPr>
        <w:footnoteReference w:id="9"/>
      </w:r>
    </w:p>
    <w:p w14:paraId="32940D9E" w14:textId="77777777" w:rsidR="00A1665A" w:rsidRDefault="00A1665A" w:rsidP="00A1665A">
      <w:pPr>
        <w:widowControl w:val="0"/>
        <w:bidi/>
        <w:spacing w:after="0" w:line="252" w:lineRule="auto"/>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بلکه در برخی از اخباری که سابقاً در خصوص نفقه مطلقه بائن گذشت و در آنها امام(ع) از حبلی بودن مطلقه سؤال می</w:t>
      </w:r>
      <w:r>
        <w:rPr>
          <w:rFonts w:cs="Abz-2 (Badr)" w:hint="cs"/>
          <w:color w:val="000000" w:themeColor="text1"/>
          <w:spacing w:val="-4"/>
          <w:sz w:val="28"/>
          <w:szCs w:val="28"/>
          <w:rtl/>
          <w:lang w:bidi="fa-IR"/>
        </w:rPr>
        <w:softHyphen/>
        <w:t>کردند و در پاسخ به اين که مطلقه حبلی نيست، می</w:t>
      </w:r>
      <w:r>
        <w:rPr>
          <w:rFonts w:cs="Abz-2 (Badr)" w:hint="cs"/>
          <w:color w:val="000000" w:themeColor="text1"/>
          <w:spacing w:val="-4"/>
          <w:sz w:val="28"/>
          <w:szCs w:val="28"/>
          <w:rtl/>
          <w:lang w:bidi="fa-IR"/>
        </w:rPr>
        <w:softHyphen/>
        <w:t>فرمودند که نفقه ندارد، نحو اشاره</w:t>
      </w:r>
      <w:r>
        <w:rPr>
          <w:rFonts w:cs="Abz-2 (Badr)" w:hint="cs"/>
          <w:color w:val="000000" w:themeColor="text1"/>
          <w:spacing w:val="-4"/>
          <w:sz w:val="28"/>
          <w:szCs w:val="28"/>
          <w:rtl/>
          <w:lang w:bidi="fa-IR"/>
        </w:rPr>
        <w:softHyphen/>
        <w:t>ای به اين حکم وجود دارد.</w:t>
      </w:r>
    </w:p>
    <w:p w14:paraId="74DB4328"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اشکالی در اين که نفقه حامل مطلقه تا هنگام وضع حمل بر عهده زوج است، وجود ندارد و چون يکی از مواردی که در نفقه بر زوج واجب است ـ و بحث آن در ادامه خواهد آمد ان شاء الله ـ تأمين مسکن است، بنابر اين سکنای مطلقه حامل نيز از اموری است که بايد توسط زوج تأمين گردد.</w:t>
      </w:r>
    </w:p>
    <w:p w14:paraId="1AAC50CA"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بحثی که در اينجا مطرح شده است و بر آن آثاری توسط اصحاب مترتب شده، اين است که نفقه مذکور آيا اختصاص به حمل دارد يا به مطلّقه؟</w:t>
      </w:r>
      <w:bookmarkEnd w:id="1"/>
    </w:p>
    <w:p w14:paraId="5FA42794"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بايد دقت داشت که در هر حال، نفقه مذکور به مادر تحويل داده می</w:t>
      </w:r>
      <w:r>
        <w:rPr>
          <w:rFonts w:cs="Abz-2 (Badr)" w:hint="cs"/>
          <w:color w:val="000000" w:themeColor="text1"/>
          <w:sz w:val="28"/>
          <w:szCs w:val="28"/>
          <w:rtl/>
          <w:lang w:bidi="fa-IR"/>
        </w:rPr>
        <w:softHyphen/>
        <w:t>شود، اما در فرضی که آن را مختصّ مطلقه حامل بدانيم، اخذ آن توسط وی از باب اخذ به حق خود است، در حالی که اگر آن را مختص به حمل بدانيم، دادن آن به مادر از اين باب است که مادر طريق برای ايصال آن به حمل است.</w:t>
      </w:r>
    </w:p>
    <w:p w14:paraId="378F3C92"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بررسی اين مسأله را به جلسه آينده واگذار می</w:t>
      </w:r>
      <w:r>
        <w:rPr>
          <w:rFonts w:cs="Abz-2 (Badr)" w:hint="cs"/>
          <w:color w:val="000000" w:themeColor="text1"/>
          <w:sz w:val="28"/>
          <w:szCs w:val="28"/>
          <w:rtl/>
          <w:lang w:bidi="fa-IR"/>
        </w:rPr>
        <w:softHyphen/>
        <w:t>کنيم ان شاء الله.</w:t>
      </w:r>
    </w:p>
    <w:p w14:paraId="0D1384C9" w14:textId="77777777" w:rsidR="00A1665A" w:rsidRDefault="00A1665A" w:rsidP="00A1665A">
      <w:pPr>
        <w:rPr>
          <w:rFonts w:cs="Abz-2 (Badr)" w:hint="cs"/>
          <w:color w:val="000000" w:themeColor="text1"/>
          <w:sz w:val="28"/>
          <w:szCs w:val="28"/>
          <w:rtl/>
          <w:lang w:bidi="fa-IR"/>
        </w:rPr>
      </w:pPr>
      <w:r>
        <w:rPr>
          <w:rFonts w:cs="Abz-2 (Badr)" w:hint="cs"/>
          <w:color w:val="000000" w:themeColor="text1"/>
          <w:sz w:val="28"/>
          <w:szCs w:val="28"/>
          <w:rtl/>
          <w:lang w:bidi="fa-IR"/>
        </w:rPr>
        <w:lastRenderedPageBreak/>
        <w:br w:type="page"/>
      </w:r>
    </w:p>
    <w:p w14:paraId="40D9BB08" w14:textId="77777777" w:rsidR="00A1665A" w:rsidRDefault="00A1665A" w:rsidP="00A1665A">
      <w:pPr>
        <w:widowControl w:val="0"/>
        <w:bidi/>
        <w:spacing w:after="0"/>
        <w:ind w:left="1701"/>
        <w:jc w:val="both"/>
        <w:rPr>
          <w:rFonts w:cs="Abz-2 (Badr)" w:hint="cs"/>
          <w:color w:val="00B050"/>
          <w:sz w:val="28"/>
          <w:szCs w:val="28"/>
          <w:rtl/>
          <w:lang w:bidi="fa-IR"/>
        </w:rPr>
      </w:pPr>
      <w:r>
        <w:rPr>
          <w:rFonts w:cs="Abz-2 (Badr)" w:hint="cs"/>
          <w:color w:val="00B050"/>
          <w:sz w:val="28"/>
          <w:szCs w:val="28"/>
          <w:rtl/>
          <w:lang w:bidi="ar"/>
        </w:rPr>
        <w:lastRenderedPageBreak/>
        <w:t>قال المحقّق الحلّي: «نعم، لو كانت المطلّقة حاملاً، لزم الإنفاق عليها حتّى تضع، وكذا السكنى.</w:t>
      </w:r>
    </w:p>
    <w:p w14:paraId="7BE8FB98" w14:textId="77777777" w:rsidR="00A1665A" w:rsidRDefault="00A1665A" w:rsidP="00A1665A">
      <w:pPr>
        <w:widowControl w:val="0"/>
        <w:bidi/>
        <w:spacing w:after="0"/>
        <w:ind w:left="1701"/>
        <w:jc w:val="both"/>
        <w:rPr>
          <w:rFonts w:cs="Abz-2 (Badr)"/>
          <w:color w:val="00B050"/>
          <w:sz w:val="28"/>
          <w:szCs w:val="28"/>
          <w:lang w:bidi="ar"/>
        </w:rPr>
      </w:pPr>
      <w:r>
        <w:rPr>
          <w:rFonts w:cs="Abz-2 (Badr)" w:hint="cs"/>
          <w:color w:val="00B050"/>
          <w:sz w:val="28"/>
          <w:szCs w:val="28"/>
          <w:rtl/>
          <w:lang w:bidi="ar"/>
        </w:rPr>
        <w:t>وهل النفقة للحمل أو لأُمّه؟ قال الشيخ رحمه الله: هي للحمل.»</w:t>
      </w:r>
      <w:r>
        <w:rPr>
          <w:rFonts w:cs="Abz-2 (Badr)"/>
          <w:color w:val="000000" w:themeColor="text1"/>
          <w:sz w:val="28"/>
          <w:szCs w:val="28"/>
          <w:vertAlign w:val="superscript"/>
          <w:rtl/>
          <w:lang w:bidi="ar"/>
        </w:rPr>
        <w:footnoteReference w:id="10"/>
      </w:r>
    </w:p>
    <w:p w14:paraId="3408E051" w14:textId="77777777" w:rsidR="00A1665A" w:rsidRDefault="00A1665A" w:rsidP="00A1665A">
      <w:pPr>
        <w:widowControl w:val="0"/>
        <w:bidi/>
        <w:spacing w:after="0"/>
        <w:ind w:left="1701"/>
        <w:jc w:val="both"/>
        <w:rPr>
          <w:rFonts w:cs="Abz-2 (Badr)" w:hint="cs"/>
          <w:color w:val="00B050"/>
          <w:sz w:val="28"/>
          <w:szCs w:val="28"/>
          <w:rtl/>
          <w:lang w:bidi="fa-IR"/>
        </w:rPr>
      </w:pPr>
    </w:p>
    <w:p w14:paraId="5392650E" w14:textId="77777777" w:rsidR="00A1665A" w:rsidRDefault="00A1665A" w:rsidP="00A1665A">
      <w:pPr>
        <w:widowControl w:val="0"/>
        <w:bidi/>
        <w:spacing w:after="0" w:line="252" w:lineRule="auto"/>
        <w:ind w:firstLine="284"/>
        <w:jc w:val="both"/>
        <w:rPr>
          <w:rFonts w:cs="Cambria" w:hint="cs"/>
          <w:color w:val="000000" w:themeColor="text1"/>
          <w:sz w:val="26"/>
          <w:szCs w:val="26"/>
          <w:rtl/>
          <w:lang w:bidi="ar"/>
        </w:rPr>
      </w:pPr>
      <w:r>
        <w:rPr>
          <w:rFonts w:cs="Abz-2 (Badr)" w:hint="cs"/>
          <w:color w:val="000000" w:themeColor="text1"/>
          <w:sz w:val="28"/>
          <w:szCs w:val="28"/>
          <w:rtl/>
        </w:rPr>
        <w:t>إنّ الدليل الأساس في وجوب نفقة المطلّقة الحامل إلى أن تضع حملها، هو الآية الشريفة الواردة في شأن المطلّقات</w:t>
      </w:r>
      <w:r>
        <w:rPr>
          <w:rFonts w:cs="Abz-2 (Badr)" w:hint="cs"/>
          <w:color w:val="000000" w:themeColor="text1"/>
          <w:sz w:val="28"/>
          <w:szCs w:val="28"/>
          <w:rtl/>
          <w:lang w:bidi="fa-IR"/>
        </w:rPr>
        <w:t xml:space="preserve">: </w:t>
      </w:r>
      <w:r>
        <w:rPr>
          <w:rFonts w:cs="QuranTaha" w:hint="cs"/>
          <w:color w:val="BF8F00" w:themeColor="accent4" w:themeShade="BF"/>
          <w:sz w:val="26"/>
          <w:szCs w:val="26"/>
          <w:rtl/>
        </w:rPr>
        <w:t>«وَإِنْ كُنَّ أُولَاتِ حَمْلٍ فَأَنْفِقُوا عَلَيْهِنَّ حَتَّىٰ يَضَعْنَ حَمْلَهُنَّ»</w:t>
      </w:r>
      <w:r>
        <w:rPr>
          <w:rFonts w:cs="Abz-2 (Badr)"/>
          <w:color w:val="000000" w:themeColor="text1"/>
          <w:sz w:val="28"/>
          <w:szCs w:val="28"/>
          <w:vertAlign w:val="superscript"/>
          <w:rtl/>
          <w:lang w:bidi="fa-IR"/>
        </w:rPr>
        <w:footnoteReference w:id="11"/>
      </w:r>
      <w:r>
        <w:rPr>
          <w:rFonts w:cs="Abz-2 (Badr)" w:hint="cs"/>
          <w:color w:val="000000" w:themeColor="text1"/>
          <w:sz w:val="28"/>
          <w:szCs w:val="28"/>
          <w:rtl/>
          <w:lang w:bidi="fa-IR"/>
        </w:rPr>
        <w:t>.</w:t>
      </w:r>
    </w:p>
    <w:p w14:paraId="323BBDED" w14:textId="77777777" w:rsidR="00A1665A" w:rsidRDefault="00A1665A" w:rsidP="00A1665A">
      <w:pPr>
        <w:widowControl w:val="0"/>
        <w:bidi/>
        <w:spacing w:after="0" w:line="252" w:lineRule="auto"/>
        <w:ind w:firstLine="284"/>
        <w:jc w:val="both"/>
        <w:rPr>
          <w:rFonts w:cs="Abz-2 (Badr)"/>
          <w:color w:val="0070C0"/>
          <w:sz w:val="28"/>
          <w:szCs w:val="28"/>
          <w:rtl/>
          <w:lang w:bidi="fa-IR"/>
        </w:rPr>
      </w:pPr>
      <w:r>
        <w:rPr>
          <w:rFonts w:cs="Abz-2 (Badr)" w:hint="cs"/>
          <w:color w:val="000000" w:themeColor="text1"/>
          <w:sz w:val="28"/>
          <w:szCs w:val="28"/>
          <w:rtl/>
          <w:lang w:bidi="fa-IR"/>
        </w:rPr>
        <w:t xml:space="preserve">قال الشيخ الطوسي في تفسيرها: </w:t>
      </w:r>
      <w:r>
        <w:rPr>
          <w:rFonts w:cs="Abz-2 (Badr)" w:hint="cs"/>
          <w:color w:val="0070C0"/>
          <w:sz w:val="28"/>
          <w:szCs w:val="28"/>
          <w:rtl/>
          <w:lang w:bidi="fa-IR"/>
        </w:rPr>
        <w:t>«أمر من الله تعالى بالإنفاق على الحامل المطلّقة، سواء كانت رجعيّة أو مبتوتة، ولا خلاف في ذلك، وإنّما يجب أن ينفق عليها بسبب ما في بطنها، وإنّما تسقط نفقتها بالوضع.»</w:t>
      </w:r>
      <w:r>
        <w:rPr>
          <w:rFonts w:cs="Abz-2 (Badr)"/>
          <w:color w:val="000000" w:themeColor="text1"/>
          <w:sz w:val="28"/>
          <w:szCs w:val="28"/>
          <w:vertAlign w:val="superscript"/>
          <w:rtl/>
          <w:lang w:bidi="ar"/>
        </w:rPr>
        <w:footnoteReference w:id="12"/>
      </w:r>
    </w:p>
    <w:p w14:paraId="38F1FFE5" w14:textId="77777777" w:rsidR="00A1665A" w:rsidRDefault="00A1665A" w:rsidP="00A1665A">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وظاهر كلامه هنا هو أنّ النفقة تثبت للمطلّقة، وإن كان سبب تعلّقها بها هو حملها.</w:t>
      </w:r>
    </w:p>
    <w:p w14:paraId="36F2C304" w14:textId="77777777" w:rsidR="00A1665A" w:rsidRDefault="00A1665A" w:rsidP="00A1665A">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ولکن قال فخرالدين الرازي في تفسير الآية الشريفة: </w:t>
      </w:r>
      <w:r>
        <w:rPr>
          <w:rFonts w:cs="Abz-2 (Badr)" w:hint="cs"/>
          <w:color w:val="0070C0"/>
          <w:sz w:val="28"/>
          <w:szCs w:val="28"/>
          <w:rtl/>
          <w:lang w:bidi="fa-IR"/>
        </w:rPr>
        <w:t>«هذا بيان حكم المطلّقة البائنة، لأنّ الرجعيّة تستحقّ النفقة وإن لم تكن حاملاً، وإن كانت مطلّقة ثلاثاً أو مختلعة، فلا نفقة لها إلا أن تكون حاملاً.»</w:t>
      </w:r>
      <w:r>
        <w:rPr>
          <w:rFonts w:cs="Abz-2 (Badr)"/>
          <w:color w:val="000000" w:themeColor="text1"/>
          <w:sz w:val="28"/>
          <w:szCs w:val="28"/>
          <w:vertAlign w:val="superscript"/>
          <w:rtl/>
          <w:lang w:bidi="ar"/>
        </w:rPr>
        <w:footnoteReference w:id="13"/>
      </w:r>
    </w:p>
    <w:p w14:paraId="1A304D97"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ولكنّ الحقّ أنّ الآية الشريفة ذات عموم، فتشمل المطلّقة الرجعيّة والمطلّقة البائن معاً، ولا ينافي ذلك ثبوت النفقة للمطلّقة الرجعيّة في غير مورد الحمل. غاية الأمر أنّ مفهوم الآية ـ الدالّ على نفي النفقة عن المطلّقة الحائل على نحو الإطلاق ـ يقيّد بالأدلّة التي تقدّم ذكرها في وجوب نفقة المطلّقة الرجعيّة.</w:t>
      </w:r>
    </w:p>
    <w:p w14:paraId="4A1D6B3A"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إن قلت:</w:t>
      </w:r>
      <w:r>
        <w:rPr>
          <w:rFonts w:cs="Abz-2 (Badr)" w:hint="cs"/>
          <w:b/>
          <w:bCs/>
          <w:color w:val="000000" w:themeColor="text1"/>
          <w:sz w:val="28"/>
          <w:szCs w:val="28"/>
          <w:rtl/>
        </w:rPr>
        <w:t xml:space="preserve"> </w:t>
      </w:r>
      <w:r>
        <w:rPr>
          <w:rFonts w:cs="Abz-2 (Badr)" w:hint="cs"/>
          <w:color w:val="000000" w:themeColor="text1"/>
          <w:sz w:val="28"/>
          <w:szCs w:val="28"/>
          <w:rtl/>
        </w:rPr>
        <w:t>إنّ وجوب نفقة المطلّقة الرجعيّة الحائل أيضاً متوقّف على الأخذ بإطلاق الأدلّة الدالّة على وجوب نفقة المطلّقة الرجعيّة، وحينئذٍ يكون إطلاق مفهوم الآية الشريفة المعارض لإطلاق تلك الأخبار مساوياً له في الرتبة، ولا موجب لتقديم أحدهما على الآخر. فبعد تساقط الإطلاقين عن الاعتبار، يكون مقتضى الأصل عدم وجوب النفقة للمطلّقة الرجعيّة الحائل</w:t>
      </w:r>
      <w:r>
        <w:rPr>
          <w:rFonts w:cs="Abz-2 (Badr)" w:hint="cs"/>
          <w:color w:val="000000" w:themeColor="text1"/>
          <w:sz w:val="28"/>
          <w:szCs w:val="28"/>
          <w:rtl/>
          <w:lang w:bidi="fa-IR"/>
        </w:rPr>
        <w:t>.</w:t>
      </w:r>
    </w:p>
    <w:p w14:paraId="65A773F3" w14:textId="77777777" w:rsidR="00A1665A" w:rsidRDefault="00A1665A" w:rsidP="00A1665A">
      <w:pPr>
        <w:widowControl w:val="0"/>
        <w:bidi/>
        <w:spacing w:after="0" w:line="252" w:lineRule="auto"/>
        <w:ind w:firstLine="284"/>
        <w:jc w:val="both"/>
        <w:rPr>
          <w:rFonts w:cs="Abz-2 (Badr)"/>
          <w:color w:val="000000" w:themeColor="text1"/>
          <w:sz w:val="28"/>
          <w:szCs w:val="28"/>
          <w:lang w:bidi="fa-IR"/>
        </w:rPr>
      </w:pPr>
      <w:r>
        <w:rPr>
          <w:rFonts w:cs="Abz-2 (Badr)" w:hint="cs"/>
          <w:color w:val="000000" w:themeColor="text1"/>
          <w:sz w:val="28"/>
          <w:szCs w:val="28"/>
          <w:rtl/>
          <w:lang w:bidi="fa-IR"/>
        </w:rPr>
        <w:t xml:space="preserve">قلت: </w:t>
      </w:r>
      <w:r>
        <w:rPr>
          <w:rFonts w:cs="Abz-2 (Badr)" w:hint="cs"/>
          <w:color w:val="000000" w:themeColor="text1"/>
          <w:sz w:val="28"/>
          <w:szCs w:val="28"/>
          <w:rtl/>
        </w:rPr>
        <w:t xml:space="preserve">إنّ الإطلاق في الأخبار الواردة في وجوب نفقة المطلّقة الرجعيّة إطلاق منطوقي، وأمّا الإطلاق المدّعى في الآية </w:t>
      </w:r>
      <w:r>
        <w:rPr>
          <w:rFonts w:cs="Abz-2 (Badr)" w:hint="cs"/>
          <w:color w:val="000000" w:themeColor="text1"/>
          <w:sz w:val="28"/>
          <w:szCs w:val="28"/>
          <w:rtl/>
        </w:rPr>
        <w:lastRenderedPageBreak/>
        <w:t>الشريفة فهو إطلاق مفهومي، والمنطوق أظهر وأقوى دلالة من المفهوم. وعليه فيقدّم مدلول الأخبار على مدلول الآية الشريفة في هذا المورد، فيثبت وجوب النفقة للمطلّقة الرجعيّة وإن لم تكن حاملاً</w:t>
      </w:r>
      <w:r>
        <w:rPr>
          <w:rFonts w:cs="Abz-2 (Badr)" w:hint="cs"/>
          <w:color w:val="000000" w:themeColor="text1"/>
          <w:sz w:val="28"/>
          <w:szCs w:val="28"/>
          <w:rtl/>
          <w:lang w:bidi="fa-IR"/>
        </w:rPr>
        <w:t>.</w:t>
      </w:r>
    </w:p>
    <w:p w14:paraId="64180FFC" w14:textId="77777777" w:rsidR="00A1665A" w:rsidRDefault="00A1665A" w:rsidP="00A1665A">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بل حتّى لو لم يسلّم هذا الاستدلال، أمكن أن يقال: إنّه بعد سقوط إطلاق كلا الدليلين عن الحجّيّة، يرجع إلى العمومات الدالّة على أنّ المطلّقة الرجعيّة بحكم الزوجة في جميع الأحكام ـ ومنها النفقة ـ ومع وجود هذه العمومات لا يصل الدور إلى الرجوع إلى الأصل العملي.</w:t>
      </w:r>
    </w:p>
    <w:p w14:paraId="0A2A272B"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ثمّ إنّه قد ورد في الأخبار أيضاً ما يدلّ علی وجوب نفقة المطلّقة الحامل إلی أن تضع حملها:</w:t>
      </w:r>
    </w:p>
    <w:p w14:paraId="0E2D5053" w14:textId="77777777" w:rsidR="00A1665A" w:rsidRDefault="00A1665A" w:rsidP="00A1665A">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t>منها: ص</w:t>
      </w:r>
      <w:r>
        <w:rPr>
          <w:rFonts w:cs="Abz-2 (Badr)" w:hint="cs"/>
          <w:sz w:val="28"/>
          <w:szCs w:val="28"/>
          <w:rtl/>
          <w:lang w:bidi="fa-IR"/>
        </w:rPr>
        <w:t xml:space="preserve">حيحة </w:t>
      </w:r>
      <w:r>
        <w:rPr>
          <w:rFonts w:cs="Abz-2 (Badr)" w:hint="cs"/>
          <w:sz w:val="28"/>
          <w:szCs w:val="28"/>
          <w:rtl/>
          <w:lang w:bidi="ar"/>
        </w:rPr>
        <w:t xml:space="preserve">عبدالله بن سنان عن أبي عبدالله(ع): </w:t>
      </w:r>
      <w:r>
        <w:rPr>
          <w:rFonts w:ascii="IRBadr" w:hAnsi="IRBadr" w:cs="Abz-2 (Badr)" w:hint="cs"/>
          <w:color w:val="70AD47" w:themeColor="accent6"/>
          <w:kern w:val="2"/>
          <w:sz w:val="28"/>
          <w:szCs w:val="28"/>
          <w:rtl/>
          <w:lang w:bidi="fa-IR"/>
          <w14:ligatures w14:val="standardContextual"/>
        </w:rPr>
        <w:t>«في الرجل يطلّق امرأته وهي حبلى، قال: أجلها أن تضع حملها وعليه نفقتها حتّى تضع حملها.»</w:t>
      </w:r>
      <w:r>
        <w:rPr>
          <w:rFonts w:cs="Abz-2 (Badr)"/>
          <w:color w:val="000000" w:themeColor="text1"/>
          <w:sz w:val="28"/>
          <w:szCs w:val="28"/>
          <w:vertAlign w:val="superscript"/>
          <w:rtl/>
          <w:lang w:bidi="ar"/>
        </w:rPr>
        <w:footnoteReference w:id="14"/>
      </w:r>
    </w:p>
    <w:p w14:paraId="7B6F405D" w14:textId="77777777" w:rsidR="00A1665A" w:rsidRDefault="00A1665A" w:rsidP="00A1665A">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sz w:val="28"/>
          <w:szCs w:val="28"/>
          <w:rtl/>
          <w:lang w:bidi="ar"/>
        </w:rPr>
        <w:t xml:space="preserve">ومنها: حسنة محمّد بن قيس عن أبي جعفر(ع)، قال: </w:t>
      </w:r>
      <w:r>
        <w:rPr>
          <w:rFonts w:ascii="IRBadr" w:hAnsi="IRBadr" w:cs="Abz-2 (Badr)" w:hint="cs"/>
          <w:color w:val="70AD47" w:themeColor="accent6"/>
          <w:kern w:val="2"/>
          <w:sz w:val="28"/>
          <w:szCs w:val="28"/>
          <w:rtl/>
          <w:lang w:bidi="fa-IR"/>
          <w14:ligatures w14:val="standardContextual"/>
        </w:rPr>
        <w:t>«الحامل أجلها أن تضع حملها وعليه نفقتها بالمعروف حتّى تضع حملها.»</w:t>
      </w:r>
      <w:r>
        <w:rPr>
          <w:rFonts w:cs="Abz-2 (Badr)"/>
          <w:color w:val="000000" w:themeColor="text1"/>
          <w:sz w:val="28"/>
          <w:szCs w:val="28"/>
          <w:vertAlign w:val="superscript"/>
          <w:rtl/>
          <w:lang w:bidi="ar"/>
        </w:rPr>
        <w:footnoteReference w:id="15"/>
      </w:r>
    </w:p>
    <w:p w14:paraId="7605232C" w14:textId="77777777" w:rsidR="00A1665A" w:rsidRDefault="00A1665A" w:rsidP="00A1665A">
      <w:pPr>
        <w:widowControl w:val="0"/>
        <w:bidi/>
        <w:spacing w:after="0" w:line="252" w:lineRule="auto"/>
        <w:ind w:firstLine="284"/>
        <w:jc w:val="both"/>
        <w:rPr>
          <w:rFonts w:cs="Abz-2 (Badr)" w:hint="cs"/>
          <w:sz w:val="28"/>
          <w:szCs w:val="28"/>
          <w:rtl/>
          <w:lang w:bidi="fa-IR"/>
        </w:rPr>
      </w:pPr>
      <w:r>
        <w:rPr>
          <w:rFonts w:cs="Abz-2 (Badr)" w:hint="cs"/>
          <w:color w:val="000000" w:themeColor="text1"/>
          <w:sz w:val="28"/>
          <w:szCs w:val="28"/>
          <w:rtl/>
          <w:lang w:bidi="fa-IR"/>
        </w:rPr>
        <w:t xml:space="preserve">ومنها: </w:t>
      </w:r>
      <w:r>
        <w:rPr>
          <w:rFonts w:cs="Abz-2 (Badr)" w:hint="cs"/>
          <w:sz w:val="28"/>
          <w:szCs w:val="28"/>
          <w:rtl/>
          <w:lang w:bidi="ar"/>
        </w:rPr>
        <w:t xml:space="preserve">حسنة الحلبي عن أبي عبدالله(ع)، قال: </w:t>
      </w:r>
      <w:r>
        <w:rPr>
          <w:rFonts w:ascii="IRBadr" w:hAnsi="IRBadr" w:cs="Abz-2 (Badr)" w:hint="cs"/>
          <w:color w:val="70AD47" w:themeColor="accent6"/>
          <w:kern w:val="2"/>
          <w:sz w:val="28"/>
          <w:szCs w:val="28"/>
          <w:rtl/>
          <w:lang w:bidi="fa-IR"/>
          <w14:ligatures w14:val="standardContextual"/>
        </w:rPr>
        <w:t>«الحبلى المطلّقة ينفق عليها حتّى تضع حملها...»</w:t>
      </w:r>
      <w:r>
        <w:rPr>
          <w:rFonts w:cs="Abz-2 (Badr)"/>
          <w:color w:val="000000" w:themeColor="text1"/>
          <w:sz w:val="28"/>
          <w:szCs w:val="28"/>
          <w:vertAlign w:val="superscript"/>
          <w:rtl/>
          <w:lang w:bidi="ar"/>
        </w:rPr>
        <w:footnoteReference w:id="16"/>
      </w:r>
    </w:p>
    <w:p w14:paraId="3E2344B2" w14:textId="77777777" w:rsidR="00A1665A" w:rsidRDefault="00A1665A" w:rsidP="00A1665A">
      <w:pPr>
        <w:widowControl w:val="0"/>
        <w:bidi/>
        <w:spacing w:after="0" w:line="252" w:lineRule="auto"/>
        <w:ind w:firstLine="284"/>
        <w:jc w:val="both"/>
        <w:rPr>
          <w:rFonts w:cs="Abz-2 (Badr)" w:hint="cs"/>
          <w:sz w:val="28"/>
          <w:szCs w:val="28"/>
          <w:rtl/>
          <w:lang w:bidi="fa-IR"/>
        </w:rPr>
      </w:pPr>
      <w:r>
        <w:rPr>
          <w:rFonts w:cs="Abz-2 (Badr)" w:hint="cs"/>
          <w:color w:val="000000" w:themeColor="text1"/>
          <w:sz w:val="28"/>
          <w:szCs w:val="28"/>
          <w:rtl/>
          <w:lang w:bidi="fa-IR"/>
        </w:rPr>
        <w:t xml:space="preserve">ومنها: </w:t>
      </w:r>
      <w:r>
        <w:rPr>
          <w:rFonts w:cs="Abz-2 (Badr)" w:hint="cs"/>
          <w:sz w:val="28"/>
          <w:szCs w:val="28"/>
          <w:rtl/>
          <w:lang w:bidi="fa-IR"/>
        </w:rPr>
        <w:t xml:space="preserve">معتبرة </w:t>
      </w:r>
      <w:r>
        <w:rPr>
          <w:rFonts w:cs="Abz-2 (Badr)" w:hint="cs"/>
          <w:sz w:val="28"/>
          <w:szCs w:val="28"/>
          <w:rtl/>
          <w:lang w:bidi="ar"/>
        </w:rPr>
        <w:t xml:space="preserve">أبي بصير عن أبي عبدالله(ع)، قال: </w:t>
      </w:r>
      <w:r>
        <w:rPr>
          <w:rFonts w:ascii="IRBadr" w:hAnsi="IRBadr" w:cs="Abz-2 (Badr)" w:hint="cs"/>
          <w:color w:val="70AD47" w:themeColor="accent6"/>
          <w:kern w:val="2"/>
          <w:sz w:val="28"/>
          <w:szCs w:val="28"/>
          <w:rtl/>
          <w:lang w:bidi="fa-IR"/>
          <w14:ligatures w14:val="standardContextual"/>
        </w:rPr>
        <w:t>«سمعته يقول: الحبلى المطلّقة ينفق عليها حتّى تضع حملها...»</w:t>
      </w:r>
      <w:r>
        <w:rPr>
          <w:rFonts w:cs="Abz-2 (Badr)"/>
          <w:color w:val="000000" w:themeColor="text1"/>
          <w:sz w:val="28"/>
          <w:szCs w:val="28"/>
          <w:vertAlign w:val="superscript"/>
          <w:rtl/>
          <w:lang w:bidi="ar"/>
        </w:rPr>
        <w:footnoteReference w:id="17"/>
      </w:r>
    </w:p>
    <w:p w14:paraId="6A0F484A" w14:textId="77777777" w:rsidR="00A1665A" w:rsidRDefault="00A1665A" w:rsidP="00A1665A">
      <w:pPr>
        <w:widowControl w:val="0"/>
        <w:bidi/>
        <w:spacing w:after="0" w:line="252" w:lineRule="auto"/>
        <w:ind w:firstLine="284"/>
        <w:jc w:val="both"/>
        <w:rPr>
          <w:rFonts w:cs="Abz-2 (Badr)" w:hint="cs"/>
          <w:color w:val="000000" w:themeColor="text1"/>
          <w:sz w:val="28"/>
          <w:szCs w:val="28"/>
          <w:rtl/>
          <w:lang w:bidi="fa-IR"/>
        </w:rPr>
      </w:pPr>
      <w:r>
        <w:rPr>
          <w:rFonts w:cs="Abz-2 (Badr)" w:hint="cs"/>
          <w:b/>
          <w:bCs/>
          <w:color w:val="000000" w:themeColor="text1"/>
          <w:sz w:val="28"/>
          <w:szCs w:val="28"/>
          <w:rtl/>
          <w:lang w:bidi="fa-IR"/>
        </w:rPr>
        <w:t>أقول:</w:t>
      </w:r>
      <w:r>
        <w:rPr>
          <w:rFonts w:cs="Abz-2 (Badr)" w:hint="cs"/>
          <w:color w:val="000000" w:themeColor="text1"/>
          <w:sz w:val="28"/>
          <w:szCs w:val="28"/>
          <w:rtl/>
          <w:lang w:bidi="fa-IR"/>
        </w:rPr>
        <w:t xml:space="preserve"> إنّ </w:t>
      </w:r>
      <w:r>
        <w:rPr>
          <w:rFonts w:cs="Abz-2 (Badr)" w:hint="cs"/>
          <w:color w:val="000000" w:themeColor="text1"/>
          <w:sz w:val="28"/>
          <w:szCs w:val="28"/>
          <w:rtl/>
        </w:rPr>
        <w:t>ناقل هذه الرواية عن أبي بصير هو علي بن أبي حمزة البطائني، غير أنّ الراوي عنه هو أحمد بن محمّد بن أبي نصر البزنطي، وهو من أجلّة الأصحاب. ولمّا کان احتمال روايته عن أحد عمد الواقفة بعد ثبوت وقفه ضعيف جدّاً، كانت الرواية معتبرة عندنا.</w:t>
      </w:r>
    </w:p>
    <w:p w14:paraId="675520BD" w14:textId="77777777" w:rsidR="00A1665A" w:rsidRDefault="00A1665A" w:rsidP="00A1665A">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sz w:val="28"/>
          <w:szCs w:val="28"/>
          <w:rtl/>
          <w:lang w:bidi="fa-IR"/>
        </w:rPr>
        <w:t xml:space="preserve">ومنها: خبر </w:t>
      </w:r>
      <w:r>
        <w:rPr>
          <w:rFonts w:cs="Abz-2 (Badr)" w:hint="cs"/>
          <w:sz w:val="28"/>
          <w:szCs w:val="28"/>
          <w:rtl/>
          <w:lang w:bidi="ar"/>
        </w:rPr>
        <w:t xml:space="preserve">أبي الصبّاح الكناني عن أبي عبدالله(ع)، قال: </w:t>
      </w:r>
      <w:r>
        <w:rPr>
          <w:rFonts w:ascii="IRBadr" w:hAnsi="IRBadr" w:cs="Abz-2 (Badr)" w:hint="cs"/>
          <w:color w:val="70AD47" w:themeColor="accent6"/>
          <w:kern w:val="2"/>
          <w:sz w:val="28"/>
          <w:szCs w:val="28"/>
          <w:rtl/>
          <w:lang w:bidi="fa-IR"/>
          <w14:ligatures w14:val="standardContextual"/>
        </w:rPr>
        <w:t xml:space="preserve">«إذا طلّق الرجل امرأته وهي حبلى، أنفق عليها حتّى تضع </w:t>
      </w:r>
      <w:r>
        <w:rPr>
          <w:rFonts w:ascii="IRBadr" w:hAnsi="IRBadr" w:cs="Abz-2 (Badr)" w:hint="cs"/>
          <w:color w:val="70AD47" w:themeColor="accent6"/>
          <w:kern w:val="2"/>
          <w:sz w:val="28"/>
          <w:szCs w:val="28"/>
          <w:rtl/>
          <w:lang w:bidi="fa-IR"/>
          <w14:ligatures w14:val="standardContextual"/>
        </w:rPr>
        <w:lastRenderedPageBreak/>
        <w:t>حملها...»</w:t>
      </w:r>
      <w:r>
        <w:rPr>
          <w:rFonts w:cs="Abz-2 (Badr)"/>
          <w:color w:val="000000" w:themeColor="text1"/>
          <w:sz w:val="28"/>
          <w:szCs w:val="28"/>
          <w:vertAlign w:val="superscript"/>
          <w:rtl/>
          <w:lang w:bidi="ar"/>
        </w:rPr>
        <w:footnoteReference w:id="18"/>
      </w:r>
    </w:p>
    <w:p w14:paraId="47D5D50A" w14:textId="77777777" w:rsidR="00A1665A" w:rsidRDefault="00A1665A" w:rsidP="00A1665A">
      <w:pPr>
        <w:widowControl w:val="0"/>
        <w:bidi/>
        <w:spacing w:after="0" w:line="252" w:lineRule="auto"/>
        <w:ind w:firstLine="284"/>
        <w:jc w:val="both"/>
        <w:rPr>
          <w:rFonts w:ascii="IRBadr" w:hAnsi="IRBadr" w:cs="Abz-2 (Badr)" w:hint="cs"/>
          <w:color w:val="000000" w:themeColor="text1"/>
          <w:kern w:val="2"/>
          <w:sz w:val="28"/>
          <w:szCs w:val="28"/>
          <w:rtl/>
          <w14:ligatures w14:val="standardContextual"/>
        </w:rPr>
      </w:pPr>
      <w:r>
        <w:rPr>
          <w:rFonts w:ascii="IRBadr" w:hAnsi="IRBadr" w:cs="Abz-2 (Badr)" w:hint="cs"/>
          <w:color w:val="000000" w:themeColor="text1"/>
          <w:kern w:val="2"/>
          <w:sz w:val="28"/>
          <w:szCs w:val="28"/>
          <w:rtl/>
          <w14:ligatures w14:val="standardContextual"/>
        </w:rPr>
        <w:t>بل قد يفهم من بعض الأخبار المتقدّمة الواردة في نفقة المطلّقة البائن حيث كان الإمام(ع) يسأل عن كون المطلّقة حبلى فإذا أُجيب بعدم حملها حكم بعدم نفقتها، إشعـار بالحكم المذكور أيضاً.</w:t>
      </w:r>
    </w:p>
    <w:p w14:paraId="715ACD6D" w14:textId="77777777" w:rsidR="00A1665A" w:rsidRDefault="00A1665A" w:rsidP="00A1665A">
      <w:pPr>
        <w:widowControl w:val="0"/>
        <w:bidi/>
        <w:spacing w:after="0" w:line="252" w:lineRule="auto"/>
        <w:ind w:firstLine="284"/>
        <w:jc w:val="both"/>
        <w:rPr>
          <w:rFonts w:ascii="IRBadr" w:hAnsi="IRBadr" w:cs="Abz-2 (Badr)" w:hint="cs"/>
          <w:color w:val="000000" w:themeColor="text1"/>
          <w:kern w:val="2"/>
          <w:sz w:val="28"/>
          <w:szCs w:val="28"/>
          <w:rtl/>
          <w14:ligatures w14:val="standardContextual"/>
        </w:rPr>
      </w:pPr>
      <w:r>
        <w:rPr>
          <w:rFonts w:ascii="IRBadr" w:hAnsi="IRBadr" w:cs="Abz-2 (Badr)" w:hint="cs"/>
          <w:color w:val="000000" w:themeColor="text1"/>
          <w:kern w:val="2"/>
          <w:sz w:val="28"/>
          <w:szCs w:val="28"/>
          <w:rtl/>
          <w14:ligatures w14:val="standardContextual"/>
        </w:rPr>
        <w:t>وعليه فلا إشكال في أنّ نفقة المطلّقة الحامل ثابتة على الزوج إلى حين وضع حملها. وحيث إنّ من جملة ما يجب على الزوج في النفقة ـ وسيأتي البحث عنه لاحقاً إن شاء الله تعالى ـ تأمين المسكن، كانت سكنى المطلّقة الحامل أيضاً ممّا يجب على الزوج القيام به.</w:t>
      </w:r>
    </w:p>
    <w:p w14:paraId="4387C4E9" w14:textId="77777777" w:rsidR="00A1665A" w:rsidRDefault="00A1665A" w:rsidP="00A1665A">
      <w:pPr>
        <w:widowControl w:val="0"/>
        <w:bidi/>
        <w:spacing w:after="0" w:line="252" w:lineRule="auto"/>
        <w:ind w:firstLine="284"/>
        <w:jc w:val="both"/>
        <w:rPr>
          <w:rFonts w:ascii="IRBadr" w:hAnsi="IRBadr" w:cs="Abz-2 (Badr)" w:hint="cs"/>
          <w:color w:val="000000" w:themeColor="text1"/>
          <w:kern w:val="2"/>
          <w:sz w:val="28"/>
          <w:szCs w:val="28"/>
          <w:rtl/>
          <w14:ligatures w14:val="standardContextual"/>
        </w:rPr>
      </w:pPr>
      <w:r>
        <w:rPr>
          <w:rFonts w:ascii="IRBadr" w:hAnsi="IRBadr" w:cs="Abz-2 (Badr)" w:hint="cs"/>
          <w:color w:val="000000" w:themeColor="text1"/>
          <w:kern w:val="2"/>
          <w:sz w:val="28"/>
          <w:szCs w:val="28"/>
          <w:rtl/>
          <w14:ligatures w14:val="standardContextual"/>
        </w:rPr>
        <w:t>إلا أنّ البحث الذي أُثير في هذا المقام والذي رتّب الأصحاب عليه آثاراً، فهو أنّ النفقة المذكورة هل هي مختصّة بالحمل، أم أنّها ثابتة للمطلّقة نفسها؟</w:t>
      </w:r>
    </w:p>
    <w:p w14:paraId="4A99F14A" w14:textId="77777777" w:rsidR="00A1665A" w:rsidRDefault="00A1665A" w:rsidP="00A1665A">
      <w:pPr>
        <w:widowControl w:val="0"/>
        <w:bidi/>
        <w:spacing w:after="0" w:line="252" w:lineRule="auto"/>
        <w:ind w:firstLine="284"/>
        <w:jc w:val="both"/>
        <w:rPr>
          <w:rFonts w:ascii="IRBadr" w:hAnsi="IRBadr" w:cs="Abz-2 (Badr)" w:hint="cs"/>
          <w:color w:val="000000" w:themeColor="text1"/>
          <w:kern w:val="2"/>
          <w:sz w:val="28"/>
          <w:szCs w:val="28"/>
          <w:rtl/>
          <w14:ligatures w14:val="standardContextual"/>
        </w:rPr>
      </w:pPr>
      <w:r>
        <w:rPr>
          <w:rFonts w:ascii="IRBadr" w:hAnsi="IRBadr" w:cs="Abz-2 (Badr)" w:hint="cs"/>
          <w:color w:val="000000" w:themeColor="text1"/>
          <w:kern w:val="2"/>
          <w:sz w:val="28"/>
          <w:szCs w:val="28"/>
          <w:rtl/>
          <w14:ligatures w14:val="standardContextual"/>
        </w:rPr>
        <w:t>ومن الواضح أنّ النفقة ـ على كلّ تقدير ـ تسلّم إلى الأُمّ، غير أنّه على الأوّل يكون أخذها لها من باب وصول الحقّ إلى مستحقّه ـ وهو الحمل ـ وتكون الأُمّ مجرّد طريق لإيصاله إليه، بخلاف ما إذا قلنا باختصاص النفقة بالمطلّقة، فإنّ تسليمها إليها يكون بعنوان استيفاء حقّها هي.</w:t>
      </w:r>
    </w:p>
    <w:p w14:paraId="0ECA8B23" w14:textId="77777777" w:rsidR="00A1665A" w:rsidRDefault="00A1665A" w:rsidP="00A1665A">
      <w:pPr>
        <w:widowControl w:val="0"/>
        <w:bidi/>
        <w:spacing w:after="0" w:line="252" w:lineRule="auto"/>
        <w:ind w:firstLine="284"/>
        <w:jc w:val="both"/>
        <w:rPr>
          <w:rFonts w:cs="Abz-2 (Badr)"/>
          <w:color w:val="000000" w:themeColor="text1"/>
          <w:sz w:val="28"/>
          <w:szCs w:val="28"/>
          <w:lang w:bidi="fa-IR"/>
        </w:rPr>
      </w:pPr>
      <w:r>
        <w:rPr>
          <w:rFonts w:ascii="IRBadr" w:hAnsi="IRBadr" w:cs="Abz-2 (Badr)" w:hint="cs"/>
          <w:color w:val="000000" w:themeColor="text1"/>
          <w:kern w:val="2"/>
          <w:sz w:val="28"/>
          <w:szCs w:val="28"/>
          <w:rtl/>
          <w14:ligatures w14:val="standardContextual"/>
        </w:rPr>
        <w:t>وسوف نتعرّض لبحث هذه المسألة في الجلسة القادمة إن شاء الله تعالى.</w:t>
      </w:r>
    </w:p>
    <w:p w14:paraId="2AD04477" w14:textId="7D63A4A4" w:rsidR="00B706A3" w:rsidRPr="00A1665A" w:rsidRDefault="00B706A3" w:rsidP="00A1665A">
      <w:pPr>
        <w:rPr>
          <w:rtl/>
        </w:rPr>
      </w:pPr>
    </w:p>
    <w:sectPr w:rsidR="00B706A3" w:rsidRPr="00A1665A"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8CFC" w14:textId="77777777" w:rsidR="00AC676F" w:rsidRDefault="00AC676F" w:rsidP="00F71127">
      <w:pPr>
        <w:spacing w:after="0" w:line="240" w:lineRule="auto"/>
      </w:pPr>
      <w:r>
        <w:separator/>
      </w:r>
    </w:p>
  </w:endnote>
  <w:endnote w:type="continuationSeparator" w:id="0">
    <w:p w14:paraId="2B37CF72" w14:textId="77777777" w:rsidR="00AC676F" w:rsidRDefault="00AC676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F508" w14:textId="77777777" w:rsidR="00A1665A" w:rsidRDefault="00A16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312C" w14:textId="77777777" w:rsidR="00A1665A" w:rsidRDefault="00A1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60FB" w14:textId="77777777" w:rsidR="00AC676F" w:rsidRDefault="00AC676F" w:rsidP="00EE25C0">
      <w:pPr>
        <w:bidi/>
        <w:spacing w:after="0" w:line="240" w:lineRule="auto"/>
      </w:pPr>
      <w:r>
        <w:separator/>
      </w:r>
    </w:p>
  </w:footnote>
  <w:footnote w:type="continuationSeparator" w:id="0">
    <w:p w14:paraId="036AE0F0" w14:textId="77777777" w:rsidR="00AC676F" w:rsidRDefault="00AC676F" w:rsidP="00F71127">
      <w:pPr>
        <w:bidi/>
        <w:spacing w:after="0" w:line="240" w:lineRule="auto"/>
      </w:pPr>
      <w:r>
        <w:continuationSeparator/>
      </w:r>
    </w:p>
  </w:footnote>
  <w:footnote w:id="1">
    <w:p w14:paraId="0B487CBC" w14:textId="77777777" w:rsidR="00A1665A" w:rsidRDefault="00A1665A" w:rsidP="00A1665A">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شرائع،ج2،ص292.</w:t>
      </w:r>
    </w:p>
  </w:footnote>
  <w:footnote w:id="2">
    <w:p w14:paraId="76E5E28E"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طلاق(65):6.</w:t>
      </w:r>
    </w:p>
  </w:footnote>
  <w:footnote w:id="3">
    <w:p w14:paraId="6C314C82"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تبيان،ج10،ص37.</w:t>
      </w:r>
    </w:p>
  </w:footnote>
  <w:footnote w:id="4">
    <w:p w14:paraId="3A50F8DC"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مفاتيح الغيب،ج30،ص564.</w:t>
      </w:r>
    </w:p>
  </w:footnote>
  <w:footnote w:id="5">
    <w:p w14:paraId="4F67DD79"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کافی،ج6،ص103،ح4 ـ وسائل الشيعة، الباب 7 من أبواب النفقات،ح1،ج21،ص518.</w:t>
      </w:r>
    </w:p>
  </w:footnote>
  <w:footnote w:id="6">
    <w:p w14:paraId="5EA844B8"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کافی،ج6،ص103،ح1 ـ وسائل الشيعة، الباب 7 من أبواب النفقات،ح3،ج21،ص518.</w:t>
      </w:r>
    </w:p>
  </w:footnote>
  <w:footnote w:id="7">
    <w:p w14:paraId="786137E8"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کافی،ج6،ص103،ح3 ـ وسائل الشيعة، الباب 7 من أبواب النفقات،ح4،ج21،ص518.</w:t>
      </w:r>
    </w:p>
  </w:footnote>
  <w:footnote w:id="8">
    <w:p w14:paraId="44AAC328"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من لا يحضره الفقيه،ج3،ص510،ح4788 ـ وسائل الشيعة، الباب 7 من أبواب النفقات،ح5،ج21،ص518 و 519.</w:t>
      </w:r>
    </w:p>
  </w:footnote>
  <w:footnote w:id="9">
    <w:p w14:paraId="660DA361"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کافی،ج6،ص45،ح2 ـ وسائل الشيعة، الباب 7 من أبواب النفقات،ح2،ج21،ص518.</w:t>
      </w:r>
    </w:p>
  </w:footnote>
  <w:footnote w:id="10">
    <w:p w14:paraId="3441B5E0"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شرائع الإسلام،ج2،ص292.</w:t>
      </w:r>
    </w:p>
  </w:footnote>
  <w:footnote w:id="11">
    <w:p w14:paraId="57EB32F5"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الطلاق(65):6.</w:t>
      </w:r>
    </w:p>
  </w:footnote>
  <w:footnote w:id="12">
    <w:p w14:paraId="750EC003"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التبيان،ج10،ص37.</w:t>
      </w:r>
    </w:p>
  </w:footnote>
  <w:footnote w:id="13">
    <w:p w14:paraId="51E91937"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مفاتيح الغيب،ج30،ص564.</w:t>
      </w:r>
    </w:p>
  </w:footnote>
  <w:footnote w:id="14">
    <w:p w14:paraId="767942FF"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الکافي،ج6،ص103،ح4 ـ وسائل الشيعة، الباب 7 من أبواب النفقات،ح1،ج21،ص518.</w:t>
      </w:r>
    </w:p>
  </w:footnote>
  <w:footnote w:id="15">
    <w:p w14:paraId="250C1FAF"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الکافي،ج6،ص103،ح1 ـ وسائل الشيعة، الباب 7 من أبواب النفقات،ح3،ج21،ص518.</w:t>
      </w:r>
    </w:p>
  </w:footnote>
  <w:footnote w:id="16">
    <w:p w14:paraId="5D28378B"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الکافي،ج6،ص103،ح3 ـ وسائل الشيعة، الباب 7 من أبواب النفقات،ح4،ج21،ص518.</w:t>
      </w:r>
    </w:p>
  </w:footnote>
  <w:footnote w:id="17">
    <w:p w14:paraId="6AE7A776"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من لا يحضره الفقيه،ج3،ص510،ح4788 ـ وسائل الشيعة، الباب 7 من أبواب النفقات،ح5،ج21،ص518 و 519.</w:t>
      </w:r>
    </w:p>
  </w:footnote>
  <w:footnote w:id="18">
    <w:p w14:paraId="54103D25" w14:textId="77777777" w:rsidR="00A1665A" w:rsidRDefault="00A1665A" w:rsidP="00A1665A">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الکافي،ج6،ص45،ح2 ـ وسائل الشيعة، الباب 7 من أبواب النفقات،ح2،ج21،ص518.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9063" w14:textId="77777777" w:rsidR="00A1665A" w:rsidRDefault="00A166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CA9D1A4"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1665A">
                            <w:rPr>
                              <w:rFonts w:cs="B Mehr" w:hint="cs"/>
                              <w:rtl/>
                              <w:lang w:bidi="fa-IR"/>
                            </w:rPr>
                            <w:t>3</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CA9D1A4"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1665A">
                      <w:rPr>
                        <w:rFonts w:cs="B Mehr" w:hint="cs"/>
                        <w:rtl/>
                        <w:lang w:bidi="fa-IR"/>
                      </w:rPr>
                      <w:t>3</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37B3" w14:textId="77777777" w:rsidR="00A1665A" w:rsidRDefault="00A166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1</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638</cp:revision>
  <cp:lastPrinted>2025-04-14T09:12:00Z</cp:lastPrinted>
  <dcterms:created xsi:type="dcterms:W3CDTF">2022-10-16T08:36:00Z</dcterms:created>
  <dcterms:modified xsi:type="dcterms:W3CDTF">2025-10-25T15:14:00Z</dcterms:modified>
</cp:coreProperties>
</file>