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88CA1" w14:textId="77777777" w:rsidR="008E2CD5" w:rsidRDefault="008E2CD5" w:rsidP="008E2CD5">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A07C518" w14:textId="77777777" w:rsidR="008E2CD5" w:rsidRDefault="008E2CD5" w:rsidP="008E2CD5">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272103EF" w14:textId="77777777" w:rsidR="008E2CD5" w:rsidRDefault="008E2CD5" w:rsidP="008E2CD5">
      <w:pPr>
        <w:widowControl w:val="0"/>
        <w:bidi/>
        <w:spacing w:after="0"/>
        <w:jc w:val="center"/>
        <w:rPr>
          <w:rFonts w:cs="B Mitra" w:hint="cs"/>
          <w:b/>
          <w:bCs/>
          <w:sz w:val="32"/>
          <w:szCs w:val="32"/>
          <w:rtl/>
          <w:lang w:bidi="fa-IR"/>
        </w:rPr>
      </w:pPr>
      <w:r>
        <w:rPr>
          <w:rFonts w:cs="B Mitra" w:hint="cs"/>
          <w:b/>
          <w:bCs/>
          <w:sz w:val="32"/>
          <w:szCs w:val="32"/>
          <w:rtl/>
          <w:lang w:bidi="fa-IR"/>
        </w:rPr>
        <w:t>جلسه 857</w:t>
      </w:r>
    </w:p>
    <w:p w14:paraId="38A0B5FA" w14:textId="77777777" w:rsidR="008E2CD5" w:rsidRDefault="008E2CD5" w:rsidP="008E2CD5">
      <w:pPr>
        <w:widowControl w:val="0"/>
        <w:bidi/>
        <w:spacing w:after="0"/>
        <w:ind w:firstLine="284"/>
        <w:jc w:val="both"/>
        <w:rPr>
          <w:rFonts w:cs="Abz-2 (Badr)" w:hint="cs"/>
          <w:sz w:val="28"/>
          <w:szCs w:val="28"/>
          <w:rtl/>
          <w:lang w:bidi="fa-IR"/>
        </w:rPr>
      </w:pPr>
      <w:bookmarkStart w:id="0" w:name="_Hlk159096966"/>
    </w:p>
    <w:bookmarkEnd w:id="0"/>
    <w:p w14:paraId="0871FC9C" w14:textId="77777777" w:rsidR="008E2CD5" w:rsidRDefault="008E2CD5" w:rsidP="008E2CD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جلسه قبل گفتيم که عدم سقوط نفقه زوجه به واسطه اتيان واجبات مضيّق بنابر مبنای اصحاب، به اين ترتيب قابل توجيه است که اين مطلب مقتضای شرط ارتکازی حين عقد می</w:t>
      </w:r>
      <w:r>
        <w:rPr>
          <w:rFonts w:cs="Abz-2 (Badr)" w:hint="cs"/>
          <w:color w:val="000000" w:themeColor="text1"/>
          <w:sz w:val="28"/>
          <w:szCs w:val="28"/>
          <w:rtl/>
          <w:lang w:bidi="fa-IR"/>
        </w:rPr>
        <w:softHyphen/>
        <w:t>باشد.</w:t>
      </w:r>
    </w:p>
    <w:p w14:paraId="17F49669" w14:textId="77777777" w:rsidR="008E2CD5" w:rsidRDefault="008E2CD5" w:rsidP="008E2CD5">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ar"/>
        </w:rPr>
        <w:t>اما صاحب مدارک با اشکال بر مدعای شيخ در خصوص سقوط نفقه به مجرد امتناع زوجه از افطار صوم مندوب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«أطلق الشيخ رحمه الله سقوط النفقة مع امتناعها من الإفطار، وهو مشكل على إطلاقه، فإنّ النشوز لا يتحقّق بترك غير الاستمتاع.</w:t>
      </w:r>
    </w:p>
    <w:p w14:paraId="1D3AF44B" w14:textId="77777777" w:rsidR="008E2CD5" w:rsidRDefault="008E2CD5" w:rsidP="008E2CD5">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إلا أن يقال: إنّ ترك الإفطار يقتضي الامتناع من الوطء.»</w:t>
      </w:r>
      <w:r>
        <w:rPr>
          <w:rFonts w:cs="Abz-2 (Badr)"/>
          <w:color w:val="000000" w:themeColor="text1"/>
          <w:sz w:val="28"/>
          <w:szCs w:val="28"/>
          <w:vertAlign w:val="superscript"/>
          <w:rtl/>
          <w:lang w:bidi="ar"/>
        </w:rPr>
        <w:footnoteReference w:id="1"/>
      </w:r>
    </w:p>
    <w:p w14:paraId="79BA92EC" w14:textId="77777777" w:rsidR="008E2CD5" w:rsidRDefault="008E2CD5" w:rsidP="008E2CD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حق نيز در اين مطلب با ايشان است.</w:t>
      </w:r>
    </w:p>
    <w:p w14:paraId="05A351FD" w14:textId="77777777" w:rsidR="008E2CD5" w:rsidRDefault="008E2CD5" w:rsidP="008E2CD5">
      <w:pPr>
        <w:widowControl w:val="0"/>
        <w:bidi/>
        <w:spacing w:after="0"/>
        <w:ind w:firstLine="284"/>
        <w:jc w:val="both"/>
        <w:rPr>
          <w:rFonts w:cs="Abz-2 (Badr)" w:hint="cs"/>
          <w:color w:val="0070C0"/>
          <w:sz w:val="28"/>
          <w:szCs w:val="28"/>
          <w:rtl/>
          <w:lang w:bidi="ar"/>
        </w:rPr>
      </w:pPr>
      <w:bookmarkStart w:id="1" w:name="_Hlk211856748"/>
      <w:r>
        <w:rPr>
          <w:rFonts w:cs="Abz-2 (Badr)" w:hint="cs"/>
          <w:color w:val="000000" w:themeColor="text1"/>
          <w:sz w:val="28"/>
          <w:szCs w:val="28"/>
          <w:rtl/>
          <w:lang w:bidi="fa-IR"/>
        </w:rPr>
        <w:t xml:space="preserve">شهيد ثانی نيز در خصوص مدعای شيخ فرموده است: </w:t>
      </w:r>
      <w:r>
        <w:rPr>
          <w:rFonts w:cs="Abz-2 (Badr)" w:hint="cs"/>
          <w:color w:val="0070C0"/>
          <w:sz w:val="28"/>
          <w:szCs w:val="28"/>
          <w:rtl/>
          <w:lang w:bidi="fa-IR"/>
        </w:rPr>
        <w:t>«</w:t>
      </w:r>
      <w:r>
        <w:rPr>
          <w:rFonts w:cs="Abz-2 (Badr)" w:hint="cs"/>
          <w:color w:val="0070C0"/>
          <w:sz w:val="28"/>
          <w:szCs w:val="28"/>
          <w:rtl/>
          <w:lang w:bidi="ar"/>
        </w:rPr>
        <w:t>لو علّل بأن الصوم عبارة عن توطين النفس على الامتناع عن المفطرات، ومن جملتها الوطء، ونيّته هي العزم على منع الزوج عن الوطء، وهو عين النشوز، لم يطابق مدّعى الشيخ، لأنه علّق نشوزها على المطالبة بالفطر فتمتنع، وهذا التعليل يقتضي تحقّق النشوز بمجرّد نيّة الصوم أو بدخول أوّل النهار وإن لم يطالب.</w:t>
      </w:r>
    </w:p>
    <w:p w14:paraId="658CF9E6" w14:textId="77777777" w:rsidR="008E2CD5" w:rsidRDefault="008E2CD5" w:rsidP="008E2CD5">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ومع ذلك فدعوى أن نيّة النشوز تكون نشوزاً فاسدة، لأنّ النشوز هو الخروج عن طاعة الزوج ـ كما تقدّم ـ بمنعه من الاستمتاع أو الخروج بغير إذنه أو نحو ذلك لا نيّته، حتّى لو نوت أن تخرج عن طاعته ولم تفعل لم يكن نشوزاً.</w:t>
      </w:r>
    </w:p>
    <w:p w14:paraId="6C5BE616" w14:textId="77777777" w:rsidR="008E2CD5" w:rsidRDefault="008E2CD5" w:rsidP="008E2CD5">
      <w:pPr>
        <w:widowControl w:val="0"/>
        <w:bidi/>
        <w:spacing w:after="0"/>
        <w:ind w:firstLine="284"/>
        <w:jc w:val="both"/>
        <w:rPr>
          <w:rFonts w:cs="Abz-2 (Badr)"/>
          <w:color w:val="0070C0"/>
          <w:sz w:val="28"/>
          <w:szCs w:val="28"/>
          <w:lang w:bidi="ar"/>
        </w:rPr>
      </w:pPr>
      <w:r>
        <w:rPr>
          <w:rFonts w:cs="Abz-2 (Badr)" w:hint="cs"/>
          <w:color w:val="0070C0"/>
          <w:sz w:val="28"/>
          <w:szCs w:val="28"/>
          <w:rtl/>
          <w:lang w:bidi="ar"/>
        </w:rPr>
        <w:t>فهذا التعليل ضعيف.</w:t>
      </w:r>
    </w:p>
    <w:p w14:paraId="1C96CBA9" w14:textId="77777777" w:rsidR="008E2CD5" w:rsidRDefault="008E2CD5" w:rsidP="008E2CD5">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lastRenderedPageBreak/>
        <w:t>كما ضعف تعليل عدم منع الصوم باستلزامه الدور على تقديره، من حيث إنّ كونه مانعاً يستلزم صحّته المستلزمة لكونه عذراً، فلا تسقط به النفقة، فلا يكون مانعاً، فيلزم من إسقاطه لها عدم إسقاطه. فإنّ مدّعي إسقاطه للنفقة لا يتوقّف على ثبوت كونه مانعاً، لأنّ النشوز يتحقّق بحصول الامتناع من جهة المرأة وإن قدر الزوج على قهرها عليه. وهكذا يقول الشيخ هنا: إنّ الصوم ندباً نشوز من جانب المرأة من حيث امتناعها منه وإعراضها عنه بما ليس بواجب، وإن قدر الزوج معه على الاستمتاع وحكم بفساده.»</w:t>
      </w:r>
      <w:r>
        <w:rPr>
          <w:rFonts w:cs="Abz-2 (Badr)"/>
          <w:color w:val="000000" w:themeColor="text1"/>
          <w:sz w:val="28"/>
          <w:szCs w:val="28"/>
          <w:vertAlign w:val="superscript"/>
          <w:rtl/>
          <w:lang w:bidi="ar"/>
        </w:rPr>
        <w:footnoteReference w:id="2"/>
      </w:r>
    </w:p>
    <w:p w14:paraId="600FDB00" w14:textId="77777777" w:rsidR="008E2CD5" w:rsidRDefault="008E2CD5" w:rsidP="008E2CD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 آنچه که شيخ فرمود مبنی بر اين که زوج حق ممانعت از اين که زوجه در اول وقت نماز را بجا آورد ندارد نيز مبتنی بر همان مطلبی است که گذشت مبنی بر اين که اين امر، مقتضای شرط ارتکازی بين طرفين در حين عقد است؛ وگرنه صرف اين که ممانعت زوجه از اتيان نماز در اول وقت سبب می</w:t>
      </w:r>
      <w:r>
        <w:rPr>
          <w:rFonts w:cs="Abz-2 (Badr)" w:hint="cs"/>
          <w:color w:val="000000" w:themeColor="text1"/>
          <w:sz w:val="28"/>
          <w:szCs w:val="28"/>
          <w:rtl/>
          <w:lang w:bidi="fa-IR"/>
        </w:rPr>
        <w:softHyphen/>
        <w:t>شود که فضيلت عمل توسط وی درک نگردد، صلاحيت برای اين که زوجه از تمکين امتناع بورزد را ندارد.</w:t>
      </w:r>
      <w:bookmarkEnd w:id="1"/>
    </w:p>
    <w:p w14:paraId="5B516936" w14:textId="77777777" w:rsidR="008E2CD5" w:rsidRDefault="008E2CD5" w:rsidP="008E2CD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نقد ديگری را که بر فرمايش شيخ وارد است جلسه بعد مطرح خواهيم کرد ان شاء الله.</w:t>
      </w:r>
    </w:p>
    <w:p w14:paraId="5D3E3121" w14:textId="77777777" w:rsidR="008E2CD5" w:rsidRDefault="008E2CD5" w:rsidP="008E2CD5">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35EFAA23" w14:textId="77777777" w:rsidR="008E2CD5" w:rsidRDefault="008E2CD5" w:rsidP="008E2CD5">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قلنا في الجلسة السابقة: إنّ عدم سقوط نفقة الزوجة بسبب إتيانها بالواجبات المضيّقة بناءً على مبنى الأصحاب، يمكن توجيهه بأنّ ذلك مقتضى الشرط الارتكازي حين العقد.</w:t>
      </w:r>
    </w:p>
    <w:p w14:paraId="465ED0D0" w14:textId="77777777" w:rsidR="008E2CD5" w:rsidRDefault="008E2CD5" w:rsidP="008E2CD5">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rPr>
        <w:t xml:space="preserve">ثمّ إنّ صاحب المدارك قد اعترض على مدّعى الشيخ في سقوط النفقة بمجرّد امتناع الزوجة عن الإفطار في الصوم المندوب فقال: </w:t>
      </w:r>
      <w:r>
        <w:rPr>
          <w:rFonts w:cs="Abz-2 (Badr)" w:hint="cs"/>
          <w:color w:val="0070C0"/>
          <w:sz w:val="28"/>
          <w:szCs w:val="28"/>
          <w:rtl/>
          <w:lang w:bidi="ar"/>
        </w:rPr>
        <w:t>«أطلق الشيخ رحمه الله سقوط النفقة مع امتناعها من الإفطار، وهو مشكل على إطلاقه، فإنّ النشوز لا يتحقّق بترك غير الاستمتاع.</w:t>
      </w:r>
    </w:p>
    <w:p w14:paraId="3E7D9C12" w14:textId="77777777" w:rsidR="008E2CD5" w:rsidRDefault="008E2CD5" w:rsidP="008E2CD5">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إلا أن يقال: إنّ ترك الإفطار يقتضي الامتناع من الوطء.»</w:t>
      </w:r>
      <w:r>
        <w:rPr>
          <w:rFonts w:cs="Abz-2 (Badr)"/>
          <w:color w:val="000000" w:themeColor="text1"/>
          <w:sz w:val="28"/>
          <w:szCs w:val="28"/>
          <w:vertAlign w:val="superscript"/>
          <w:rtl/>
          <w:lang w:bidi="ar"/>
        </w:rPr>
        <w:footnoteReference w:id="3"/>
      </w:r>
    </w:p>
    <w:p w14:paraId="73D93694" w14:textId="77777777" w:rsidR="008E2CD5" w:rsidRDefault="008E2CD5" w:rsidP="008E2CD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والحقّ في ذل</w:t>
      </w:r>
      <w:r>
        <w:rPr>
          <w:rFonts w:cs="Abz-2 (Badr)" w:hint="cs"/>
          <w:color w:val="000000" w:themeColor="text1"/>
          <w:sz w:val="28"/>
          <w:szCs w:val="28"/>
          <w:rtl/>
        </w:rPr>
        <w:t>ك</w:t>
      </w:r>
      <w:r>
        <w:rPr>
          <w:rFonts w:cs="Abz-2 (Badr)" w:hint="cs"/>
          <w:color w:val="000000" w:themeColor="text1"/>
          <w:sz w:val="28"/>
          <w:szCs w:val="28"/>
          <w:rtl/>
          <w:lang w:bidi="fa-IR"/>
        </w:rPr>
        <w:t xml:space="preserve"> معه.</w:t>
      </w:r>
    </w:p>
    <w:p w14:paraId="6F0FB603" w14:textId="77777777" w:rsidR="008E2CD5" w:rsidRDefault="008E2CD5" w:rsidP="008E2CD5">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وقال الشهيد الثاني أيضاً في خصوص هذا المدّعی للشيخ: </w:t>
      </w:r>
      <w:r>
        <w:rPr>
          <w:rFonts w:cs="Abz-2 (Badr)" w:hint="cs"/>
          <w:color w:val="0070C0"/>
          <w:sz w:val="28"/>
          <w:szCs w:val="28"/>
          <w:rtl/>
          <w:lang w:bidi="fa-IR"/>
        </w:rPr>
        <w:t>«</w:t>
      </w:r>
      <w:r>
        <w:rPr>
          <w:rFonts w:cs="Abz-2 (Badr)" w:hint="cs"/>
          <w:color w:val="0070C0"/>
          <w:sz w:val="28"/>
          <w:szCs w:val="28"/>
          <w:rtl/>
          <w:lang w:bidi="ar"/>
        </w:rPr>
        <w:t>لو علّل بأن الصوم عبارة عن توطين النفس على الامتناع عن المفطرات، ومن جملتها الوطء، ونيّته هي العزم على منع الزوج عن الوطء، وهو عين النشوز، لم يطابق مدّعى الشيخ، لأنه علّق نشوزها على المطالبة بالفطر فتمتنع، وهذا التعليل يقتضي تحقّق النشوز بمجرّد نيّة الصوم أو بدخول أوّل النهار وإن لم يطالب.</w:t>
      </w:r>
    </w:p>
    <w:p w14:paraId="48C680CF" w14:textId="77777777" w:rsidR="008E2CD5" w:rsidRDefault="008E2CD5" w:rsidP="008E2CD5">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ومع ذلك فدعوى أن نيّة النشوز تكون نشوزاً فاسدة، لأنّ النشوز هو الخروج عن طاعة الزوج ـ كما تقدّم ـ بمنعه من الاستمتاع أو الخروج بغير إذنه أو نحو ذلك لا نيّته، حتّى لو نوت أن تخرج عن طاعته ولم تفعل لم يكن نشوزاً.</w:t>
      </w:r>
    </w:p>
    <w:p w14:paraId="02485873" w14:textId="77777777" w:rsidR="008E2CD5" w:rsidRDefault="008E2CD5" w:rsidP="008E2CD5">
      <w:pPr>
        <w:widowControl w:val="0"/>
        <w:bidi/>
        <w:spacing w:after="0"/>
        <w:ind w:firstLine="284"/>
        <w:jc w:val="both"/>
        <w:rPr>
          <w:rFonts w:cs="Abz-2 (Badr)"/>
          <w:color w:val="0070C0"/>
          <w:sz w:val="28"/>
          <w:szCs w:val="28"/>
          <w:lang w:bidi="ar"/>
        </w:rPr>
      </w:pPr>
      <w:r>
        <w:rPr>
          <w:rFonts w:cs="Abz-2 (Badr)" w:hint="cs"/>
          <w:color w:val="0070C0"/>
          <w:sz w:val="28"/>
          <w:szCs w:val="28"/>
          <w:rtl/>
          <w:lang w:bidi="ar"/>
        </w:rPr>
        <w:t>فهذا التعليل ضعيف.</w:t>
      </w:r>
    </w:p>
    <w:p w14:paraId="2C75DFB0" w14:textId="77777777" w:rsidR="008E2CD5" w:rsidRDefault="008E2CD5" w:rsidP="008E2CD5">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 xml:space="preserve">كما ضعف تعليل عدم منع الصوم باستلزامه الدور على تقديره، من حيث إنّ كونه مانعاً يستلزم صحّته المستلزمة لكونه عذراً، فلا تسقط به النفقة، فلا يكون مانعاً، فيلزم من إسقاطه لها عدم إسقاطه. فإنّ مدّعي إسقاطه للنفقة لا يتوقّف على ثبوت كونه مانعاً، لأنّ النشوز يتحقّق بحصول الامتناع من جهة المرأة وإن قدر الزوج على قهرها عليه. وهكذا يقول الشيخ هنا: إنّ الصوم ندباً نشوز من جانب المرأة من حيث امتناعها منه وإعراضها عنه بما ليس بواجب، وإن قدر الزوج معه على </w:t>
      </w:r>
      <w:r>
        <w:rPr>
          <w:rFonts w:cs="Abz-2 (Badr)" w:hint="cs"/>
          <w:color w:val="0070C0"/>
          <w:sz w:val="28"/>
          <w:szCs w:val="28"/>
          <w:rtl/>
          <w:lang w:bidi="ar"/>
        </w:rPr>
        <w:lastRenderedPageBreak/>
        <w:t>الاستمتاع وحكم بفساده.»</w:t>
      </w:r>
      <w:r>
        <w:rPr>
          <w:rFonts w:cs="Abz-2 (Badr)"/>
          <w:color w:val="000000" w:themeColor="text1"/>
          <w:sz w:val="28"/>
          <w:szCs w:val="28"/>
          <w:vertAlign w:val="superscript"/>
          <w:rtl/>
          <w:lang w:bidi="ar"/>
        </w:rPr>
        <w:footnoteReference w:id="4"/>
      </w:r>
    </w:p>
    <w:p w14:paraId="4113275A" w14:textId="77777777" w:rsidR="008E2CD5" w:rsidRDefault="008E2CD5" w:rsidP="008E2CD5">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وأمّا ما أفاده الشيخ من أنّ الزوج لا يملك منع الزوجة من أداء الصلاة في أوّل وقتها، فمبناه ما تقدّم من أنّ ذلك مقتضى الشرط الارتكازي القائم بين الزوجين حين العقد، وإلا فإنّ مجرّد كون منعها من الإتيان بالصلاة في أوّل وقتها موجباً لفوات فضيلة العمل، لا يصلح أن يكون مبرّراً لامتناعها عن التمكين.</w:t>
      </w:r>
    </w:p>
    <w:p w14:paraId="16D96BF5" w14:textId="77777777" w:rsidR="008E2CD5" w:rsidRDefault="008E2CD5" w:rsidP="008E2CD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وسنطرح نقداً آخر على كلام الشيخ في الجلسة القادمة إن شاء الله تعالى.</w:t>
      </w:r>
    </w:p>
    <w:p w14:paraId="2AD04477" w14:textId="7D63A4A4" w:rsidR="00B706A3" w:rsidRPr="008E2CD5" w:rsidRDefault="00B706A3" w:rsidP="008E2CD5">
      <w:pPr>
        <w:rPr>
          <w:rtl/>
        </w:rPr>
      </w:pPr>
    </w:p>
    <w:sectPr w:rsidR="00B706A3" w:rsidRPr="008E2CD5"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52652" w14:textId="77777777" w:rsidR="005D01D2" w:rsidRDefault="005D01D2" w:rsidP="00F71127">
      <w:pPr>
        <w:spacing w:after="0" w:line="240" w:lineRule="auto"/>
      </w:pPr>
      <w:r>
        <w:separator/>
      </w:r>
    </w:p>
  </w:endnote>
  <w:endnote w:type="continuationSeparator" w:id="0">
    <w:p w14:paraId="288C1C97" w14:textId="77777777" w:rsidR="005D01D2" w:rsidRDefault="005D01D2"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D491" w14:textId="77777777" w:rsidR="00667A2F" w:rsidRDefault="00667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C443" w14:textId="77777777" w:rsidR="00667A2F" w:rsidRDefault="00667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0C4DC" w14:textId="77777777" w:rsidR="005D01D2" w:rsidRDefault="005D01D2" w:rsidP="00EE25C0">
      <w:pPr>
        <w:bidi/>
        <w:spacing w:after="0" w:line="240" w:lineRule="auto"/>
      </w:pPr>
      <w:r>
        <w:separator/>
      </w:r>
    </w:p>
  </w:footnote>
  <w:footnote w:type="continuationSeparator" w:id="0">
    <w:p w14:paraId="68E0CB16" w14:textId="77777777" w:rsidR="005D01D2" w:rsidRDefault="005D01D2" w:rsidP="00F71127">
      <w:pPr>
        <w:bidi/>
        <w:spacing w:after="0" w:line="240" w:lineRule="auto"/>
      </w:pPr>
      <w:r>
        <w:continuationSeparator/>
      </w:r>
    </w:p>
  </w:footnote>
  <w:footnote w:id="1">
    <w:p w14:paraId="2E0F5BB0" w14:textId="77777777" w:rsidR="008E2CD5" w:rsidRDefault="008E2CD5" w:rsidP="008E2CD5">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نهاية المرام،ج1،ص477.</w:t>
      </w:r>
    </w:p>
  </w:footnote>
  <w:footnote w:id="2">
    <w:p w14:paraId="1E3D45EE" w14:textId="77777777" w:rsidR="008E2CD5" w:rsidRDefault="008E2CD5" w:rsidP="008E2CD5">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مسالك،ج8،ص448.</w:t>
      </w:r>
    </w:p>
  </w:footnote>
  <w:footnote w:id="3">
    <w:p w14:paraId="2FB090E1" w14:textId="77777777" w:rsidR="008E2CD5" w:rsidRDefault="008E2CD5" w:rsidP="008E2CD5">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نهاية المرام،ج1،ص477.</w:t>
      </w:r>
    </w:p>
  </w:footnote>
  <w:footnote w:id="4">
    <w:p w14:paraId="23B2E447" w14:textId="77777777" w:rsidR="008E2CD5" w:rsidRDefault="008E2CD5" w:rsidP="008E2CD5">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 الأفهام،ج8،ص448.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5BBC" w14:textId="77777777" w:rsidR="00667A2F" w:rsidRDefault="00667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9A74CFD"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8E2CD5">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8E2CD5">
                            <w:rPr>
                              <w:rFonts w:cs="B Mehr" w:hint="cs"/>
                              <w:rtl/>
                              <w:lang w:bidi="fa-IR"/>
                            </w:rPr>
                            <w:t>29</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9A74CFD"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8E2CD5">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8E2CD5">
                      <w:rPr>
                        <w:rFonts w:cs="B Mehr" w:hint="cs"/>
                        <w:rtl/>
                        <w:lang w:bidi="fa-IR"/>
                      </w:rPr>
                      <w:t>29</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85E0" w14:textId="77777777" w:rsidR="00667A2F" w:rsidRDefault="00667A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3C34"/>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21729</TotalTime>
  <Pages>1</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635</cp:revision>
  <cp:lastPrinted>2025-04-14T09:12:00Z</cp:lastPrinted>
  <dcterms:created xsi:type="dcterms:W3CDTF">2022-10-16T08:36:00Z</dcterms:created>
  <dcterms:modified xsi:type="dcterms:W3CDTF">2025-10-21T15:23:00Z</dcterms:modified>
</cp:coreProperties>
</file>