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C92CB" w14:textId="77777777" w:rsidR="00E54A06" w:rsidRDefault="00E54A06" w:rsidP="00E54A06">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5CF84206" w14:textId="77777777" w:rsidR="00E54A06" w:rsidRDefault="00E54A06" w:rsidP="00E54A06">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3B09B693" w14:textId="77777777" w:rsidR="00E54A06" w:rsidRDefault="00E54A06" w:rsidP="00E54A06">
      <w:pPr>
        <w:widowControl w:val="0"/>
        <w:bidi/>
        <w:spacing w:after="0"/>
        <w:jc w:val="center"/>
        <w:rPr>
          <w:rFonts w:cs="B Mitra" w:hint="cs"/>
          <w:b/>
          <w:bCs/>
          <w:sz w:val="32"/>
          <w:szCs w:val="32"/>
          <w:rtl/>
          <w:lang w:bidi="fa-IR"/>
        </w:rPr>
      </w:pPr>
      <w:r>
        <w:rPr>
          <w:rFonts w:cs="B Mitra" w:hint="cs"/>
          <w:b/>
          <w:bCs/>
          <w:sz w:val="32"/>
          <w:szCs w:val="32"/>
          <w:rtl/>
          <w:lang w:bidi="fa-IR"/>
        </w:rPr>
        <w:t>جلسه 851</w:t>
      </w:r>
    </w:p>
    <w:p w14:paraId="7EADE96F" w14:textId="77777777" w:rsidR="00E54A06" w:rsidRDefault="00E54A06" w:rsidP="00E54A06">
      <w:pPr>
        <w:widowControl w:val="0"/>
        <w:bidi/>
        <w:spacing w:after="0"/>
        <w:ind w:firstLine="284"/>
        <w:jc w:val="both"/>
        <w:rPr>
          <w:rFonts w:cs="Abz-2 (Badr)" w:hint="cs"/>
          <w:sz w:val="28"/>
          <w:szCs w:val="28"/>
          <w:rtl/>
          <w:lang w:bidi="fa-IR"/>
        </w:rPr>
      </w:pPr>
      <w:bookmarkStart w:id="0" w:name="_Hlk159096966"/>
    </w:p>
    <w:bookmarkEnd w:id="0"/>
    <w:p w14:paraId="70E144D4" w14:textId="77777777" w:rsidR="00E54A06" w:rsidRDefault="00E54A06" w:rsidP="00E54A0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استدلالات شهيد ثانی و کاشف اللثام برای قول به عدم وجوب نفقه زوجه در صورت صغر زوج و نيز اشکال شهيد ثانی بر استدلالات مذکور را جلسه قبل مطرح کرديم.</w:t>
      </w:r>
    </w:p>
    <w:p w14:paraId="0D1A5C73" w14:textId="77777777" w:rsidR="00E54A06" w:rsidRDefault="00E54A06" w:rsidP="00E54A06">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صاحب رياض نيز در ردّ مدعای استحقاق زوجه برای نفقه در اين فرض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المناقشة فيه بعد ما ذكرناه واضحة، بل وأعلامها هنا لائحة؛ لكون الدالّة عليها خطابات وتكاليف لا يمكن صرفها إلى الصغير، وصرفها إلى الولي‌ مدفوع بالأصل، مع استلزامه إمّا حصرها فيه أو استعمالها في متغايرين.»</w:t>
      </w:r>
      <w:r>
        <w:rPr>
          <w:rStyle w:val="FootnoteReference"/>
          <w:rFonts w:cs="Abz-2 (Badr)"/>
          <w:color w:val="000000" w:themeColor="text1"/>
          <w:sz w:val="28"/>
          <w:szCs w:val="28"/>
          <w:rtl/>
          <w:lang w:bidi="ar"/>
        </w:rPr>
        <w:footnoteReference w:id="1"/>
      </w:r>
    </w:p>
    <w:p w14:paraId="47595CC0" w14:textId="77777777" w:rsidR="00E54A06" w:rsidRDefault="00E54A06" w:rsidP="00E54A06">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fa-IR"/>
        </w:rPr>
        <w:t>صاحب جواهر نيز با اشکال در مدعای محقق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فيه: منع تحقّق التمكين بدون التمكّن، ولو سلّم ـ على أنّ الثابت اشتراطه بذل نفسها وعدم المانع من قبلها ـ فقد يقال: إنّه يشكّ في شمول الأدلة لذلك، ضرورة ظهورها باعتبار أنّها خطابات وتكاليف في غير الصغيرة، وصرفها إلى الولي مدفوع بالأصل، بل قيل: إنّه مستلزم إمّا حصرها فيه أو استعمالها في متغايرين.</w:t>
      </w:r>
    </w:p>
    <w:p w14:paraId="4A481BB3" w14:textId="77777777" w:rsidR="00E54A06" w:rsidRDefault="00E54A06" w:rsidP="00E54A06">
      <w:pPr>
        <w:widowControl w:val="0"/>
        <w:bidi/>
        <w:spacing w:after="0"/>
        <w:ind w:firstLine="284"/>
        <w:jc w:val="both"/>
        <w:rPr>
          <w:rFonts w:cs="Abz-2 (Badr)" w:hint="cs"/>
          <w:color w:val="000000" w:themeColor="text1"/>
          <w:sz w:val="28"/>
          <w:szCs w:val="28"/>
          <w:rtl/>
          <w:lang w:bidi="fa-IR"/>
        </w:rPr>
      </w:pPr>
      <w:r>
        <w:rPr>
          <w:rFonts w:cs="Abz-2 (Badr)" w:hint="cs"/>
          <w:color w:val="0070C0"/>
          <w:sz w:val="28"/>
          <w:szCs w:val="28"/>
          <w:rtl/>
          <w:lang w:bidi="ar"/>
        </w:rPr>
        <w:t>ولذا كان قول الشيخ هو المتّجه كما اعترف به كشف اللثام والرياض ومحكي نهاية المرام، كما أنّ منه يعلم عدم الوجه في تفريعه على اشتراط التمكين، لما عرفت من خروج هذا الموضوع عن المنساق من الأدلّة، فيبقى أصل البراءة سالماً عن المعارض، نحو ما سمعته في الصغيرة.»</w:t>
      </w:r>
      <w:r>
        <w:rPr>
          <w:rStyle w:val="FootnoteReference"/>
          <w:rFonts w:cs="Abz-2 (Badr)"/>
          <w:color w:val="000000" w:themeColor="text1"/>
          <w:sz w:val="28"/>
          <w:szCs w:val="28"/>
          <w:rtl/>
          <w:lang w:bidi="ar"/>
        </w:rPr>
        <w:footnoteReference w:id="2"/>
      </w:r>
    </w:p>
    <w:p w14:paraId="4B5B75B9" w14:textId="77777777" w:rsidR="00E54A06" w:rsidRDefault="00E54A06" w:rsidP="00E54A06">
      <w:pPr>
        <w:widowControl w:val="0"/>
        <w:bidi/>
        <w:spacing w:after="0"/>
        <w:ind w:firstLine="284"/>
        <w:jc w:val="both"/>
        <w:rPr>
          <w:rFonts w:cs="Abz-2 (Badr)" w:hint="cs"/>
          <w:color w:val="000000" w:themeColor="text1"/>
          <w:sz w:val="28"/>
          <w:szCs w:val="28"/>
          <w:rtl/>
          <w:lang w:bidi="fa-IR"/>
        </w:rPr>
      </w:pPr>
      <w:bookmarkStart w:id="1" w:name="_Hlk211249535"/>
      <w:r>
        <w:rPr>
          <w:rFonts w:cs="Abz-2 (Badr)" w:hint="cs"/>
          <w:color w:val="000000" w:themeColor="text1"/>
          <w:sz w:val="28"/>
          <w:szCs w:val="28"/>
          <w:rtl/>
          <w:lang w:bidi="fa-IR"/>
        </w:rPr>
        <w:t xml:space="preserve">اما حق در اين مسأله با قائلين به وجوب نفقه است، زيرا اولاً: بر اساس آنچه که گذشت، تمکين شرط نفقه نبوده و </w:t>
      </w:r>
      <w:r>
        <w:rPr>
          <w:rFonts w:cs="Abz-2 (Badr)" w:hint="cs"/>
          <w:color w:val="000000" w:themeColor="text1"/>
          <w:sz w:val="28"/>
          <w:szCs w:val="28"/>
          <w:rtl/>
          <w:lang w:bidi="fa-IR"/>
        </w:rPr>
        <w:lastRenderedPageBreak/>
        <w:t>بلکه نشوز مانع از آن است و با عدم تحقق نشوز از جانب زوجه، مانعی برای وجوب نفقه او وجود نخواهد داشت.</w:t>
      </w:r>
    </w:p>
    <w:p w14:paraId="0EC00FEE" w14:textId="77777777" w:rsidR="00E54A06" w:rsidRDefault="00E54A06" w:rsidP="00E54A0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ثانياً: حتی اگر تمکين را شرط وجوب نفقه بدانيم، از آنجا که زوجه تمکين دارد و تمکين وی متوقف بر امکان استمتاع زوج از او نيست ـ وگرنه در هر موردی که زوج امکان استمتاع نداشته باشد، مثل اين که مقطوع الذکر يا عنين يا مغمی عليه و امثال آن باشد، بايد قائل به اين شويم که زوجه تمکين ندارد که عدم صحت آن آشکار است ـ در نتيجه وجهی برای عدم وجوب نفقه وجود نخواهد داشت.</w:t>
      </w:r>
    </w:p>
    <w:p w14:paraId="792FC924" w14:textId="77777777" w:rsidR="00E54A06" w:rsidRDefault="00E54A06" w:rsidP="00E54A0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به عبارت ديگر: اگرچه تمکين از مفاهيم ذات اضافه است که بدون وجود طرف مقابل، صدق نمی</w:t>
      </w:r>
      <w:r>
        <w:rPr>
          <w:rFonts w:cs="Abz-2 (Badr)" w:hint="cs"/>
          <w:color w:val="000000" w:themeColor="text1"/>
          <w:sz w:val="28"/>
          <w:szCs w:val="28"/>
          <w:rtl/>
          <w:lang w:bidi="fa-IR"/>
        </w:rPr>
        <w:softHyphen/>
        <w:t>کند و نمی</w:t>
      </w:r>
      <w:r>
        <w:rPr>
          <w:rFonts w:cs="Abz-2 (Badr)" w:hint="cs"/>
          <w:color w:val="000000" w:themeColor="text1"/>
          <w:sz w:val="28"/>
          <w:szCs w:val="28"/>
          <w:rtl/>
          <w:lang w:bidi="fa-IR"/>
        </w:rPr>
        <w:softHyphen/>
        <w:t>توان زن را بدون لحاظ هيچ مردی، دارای تمکين دانست، اما در صدق آن صرف وجود طرفی که ذاتاً امکان استمتاع داشته باشد، کفايت می</w:t>
      </w:r>
      <w:r>
        <w:rPr>
          <w:rFonts w:cs="Abz-2 (Badr)" w:hint="cs"/>
          <w:color w:val="000000" w:themeColor="text1"/>
          <w:sz w:val="28"/>
          <w:szCs w:val="28"/>
          <w:rtl/>
          <w:lang w:bidi="fa-IR"/>
        </w:rPr>
        <w:softHyphen/>
        <w:t>کند و فعليت داشتن اين قابليت در صدق تمکين شرط نيست.</w:t>
      </w:r>
    </w:p>
    <w:p w14:paraId="3944664F" w14:textId="77777777" w:rsidR="00E54A06" w:rsidRDefault="00E54A06" w:rsidP="00E54A06">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بلکه حتی اگر اين مدعا مقبول واقع نشود و ادعا شود که صغر زوج مستلزم اين است که مقتضی برای استمتاع در وی وجود نداشته باشد، بر خلاف موارد ديگری که ذکر شد و در آنها با وجود مقتضی، مانع برای استمتاع ايجاد شده است، فلذا در آن موارد می</w:t>
      </w:r>
      <w:r>
        <w:rPr>
          <w:rFonts w:cs="Abz-2 (Badr)" w:hint="cs"/>
          <w:color w:val="000000" w:themeColor="text1"/>
          <w:sz w:val="28"/>
          <w:szCs w:val="28"/>
          <w:rtl/>
          <w:lang w:bidi="fa-IR"/>
        </w:rPr>
        <w:softHyphen/>
        <w:t>توان قائل به صدق تمکين از جانب زوجه شد، اما در صورت صغر زوج، تمکين از جانب زوجه صدق نمی</w:t>
      </w:r>
      <w:r>
        <w:rPr>
          <w:rFonts w:cs="Abz-2 (Badr)" w:hint="cs"/>
          <w:color w:val="000000" w:themeColor="text1"/>
          <w:sz w:val="28"/>
          <w:szCs w:val="28"/>
          <w:rtl/>
          <w:lang w:bidi="fa-IR"/>
        </w:rPr>
        <w:softHyphen/>
        <w:t>کند، زيرا که زوج صغير از اين جهت در حکم جماد است، می</w:t>
      </w:r>
      <w:r>
        <w:rPr>
          <w:rFonts w:cs="Abz-2 (Badr)" w:hint="cs"/>
          <w:color w:val="000000" w:themeColor="text1"/>
          <w:sz w:val="28"/>
          <w:szCs w:val="28"/>
          <w:rtl/>
          <w:lang w:bidi="fa-IR"/>
        </w:rPr>
        <w:softHyphen/>
        <w:t>توان گفت: با وجود عدم اهليت زوج برای استمتاع از زوجه، وجهی برای اين که امر به تمکين متوجه زوجه گردد، وجود ندارد. در نتيجه دليلی که به واسطه آن بتوان عموم ادله وجوب نفقه زوجه بر زوج را تخصيص زد، وجود نداشته و با تمسّک به عموم آن ادله، می</w:t>
      </w:r>
      <w:r>
        <w:rPr>
          <w:rFonts w:cs="Abz-2 (Badr)" w:hint="cs"/>
          <w:color w:val="000000" w:themeColor="text1"/>
          <w:sz w:val="28"/>
          <w:szCs w:val="28"/>
          <w:rtl/>
          <w:lang w:bidi="fa-IR"/>
        </w:rPr>
        <w:softHyphen/>
        <w:t>توان حکم به وجوب نفقه زوجه بر زوج نمود.</w:t>
      </w:r>
    </w:p>
    <w:p w14:paraId="1015C4D6" w14:textId="77777777" w:rsidR="00E54A06" w:rsidRDefault="00E54A06" w:rsidP="00E54A06">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ثالثاً: صغير بودن زوج سبب نمی</w:t>
      </w:r>
      <w:r>
        <w:rPr>
          <w:rFonts w:cs="Abz-2 (Badr)" w:hint="cs"/>
          <w:color w:val="000000" w:themeColor="text1"/>
          <w:sz w:val="28"/>
          <w:szCs w:val="28"/>
          <w:rtl/>
          <w:lang w:bidi="fa-IR"/>
        </w:rPr>
        <w:softHyphen/>
        <w:t>شود که امر به نفقه متوجه وی نشود، زيرا صغر فقط مانع از توجه احکام تکليفيه است و منعی از توجه احکام وضعيه به صغير وجود ندارد.</w:t>
      </w:r>
    </w:p>
    <w:p w14:paraId="2E2CFAF1" w14:textId="77777777" w:rsidR="00E54A06" w:rsidRDefault="00E54A06" w:rsidP="00E54A06">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اين که توجه امر به نفقه به ولی دليلی ندارد يا اين که سبب می</w:t>
      </w:r>
      <w:r>
        <w:rPr>
          <w:rFonts w:cs="Abz-2 (Badr)" w:hint="cs"/>
          <w:color w:val="000000" w:themeColor="text1"/>
          <w:sz w:val="28"/>
          <w:szCs w:val="28"/>
          <w:rtl/>
          <w:lang w:bidi="fa-IR"/>
        </w:rPr>
        <w:softHyphen/>
        <w:t>شود که يا امر به نفقه فقط متوجه ولی شود و يا اين که متوجه دو نفر بشود، مدعای عجيبی است، زيرا فرقی بين ما نحن فيه با بقيه امور مالی که در آنها امر متوجه به صغير به واسطه ولی و از باب ولايت امتثال می</w:t>
      </w:r>
      <w:r>
        <w:rPr>
          <w:rFonts w:cs="Abz-2 (Badr)" w:hint="cs"/>
          <w:color w:val="000000" w:themeColor="text1"/>
          <w:sz w:val="28"/>
          <w:szCs w:val="28"/>
          <w:rtl/>
          <w:lang w:bidi="fa-IR"/>
        </w:rPr>
        <w:softHyphen/>
        <w:t xml:space="preserve">گردد، وجود ندارد؛ مثلاً چناچه ضمانی مالی متوجه صغير بشود، معلوم </w:t>
      </w:r>
      <w:r>
        <w:rPr>
          <w:rFonts w:cs="Abz-2 (Badr)" w:hint="cs"/>
          <w:color w:val="000000" w:themeColor="text1"/>
          <w:sz w:val="28"/>
          <w:szCs w:val="28"/>
          <w:rtl/>
          <w:lang w:bidi="fa-IR"/>
        </w:rPr>
        <w:lastRenderedPageBreak/>
        <w:t>است که امری که متوجه اوست، امر به جبران خسارت است و امری که متوجه ولی است، امتثال امر متوجه به صغير از جانب او و از باب ولايت بر اوست.</w:t>
      </w:r>
    </w:p>
    <w:p w14:paraId="0EA3C80B" w14:textId="77777777" w:rsidR="00E54A06" w:rsidRDefault="00E54A06" w:rsidP="00E54A06">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رابعاً: عدم شمول ادله نفقات بر زوج صغير، مدعای بلا وجهی است و همان گونه که در فرع سابق گذشت، وجهی برای اين که ادعا شود اين ادله فقط شامل زوجه کبيره و زوج کبير هستند، وجود ندارد.</w:t>
      </w:r>
    </w:p>
    <w:p w14:paraId="3C3E1554" w14:textId="77777777" w:rsidR="00E54A06" w:rsidRDefault="00E54A06" w:rsidP="00E54A06">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در نتيجه وجهی برای اين که در اين فرض نفقه زوجه بر زوج واجب نگردد، وجود نخواهد داشت.</w:t>
      </w:r>
    </w:p>
    <w:p w14:paraId="34C50E5C" w14:textId="77777777" w:rsidR="00E54A06" w:rsidRDefault="00E54A06" w:rsidP="00E54A06">
      <w:pPr>
        <w:rPr>
          <w:rFonts w:cs="Abz-2 (Badr)" w:hint="cs"/>
          <w:color w:val="000000" w:themeColor="text1"/>
          <w:sz w:val="28"/>
          <w:szCs w:val="28"/>
          <w:rtl/>
          <w:lang w:bidi="fa-IR"/>
        </w:rPr>
      </w:pPr>
      <w:r>
        <w:rPr>
          <w:rFonts w:cs="Abz-2 (Badr)" w:hint="cs"/>
          <w:color w:val="000000" w:themeColor="text1"/>
          <w:sz w:val="28"/>
          <w:szCs w:val="28"/>
          <w:rtl/>
          <w:lang w:bidi="fa-IR"/>
        </w:rPr>
        <w:br w:type="page"/>
      </w:r>
    </w:p>
    <w:p w14:paraId="06C4A6E8" w14:textId="77777777" w:rsidR="00E54A06" w:rsidRDefault="00E54A06" w:rsidP="00E54A06">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rPr>
        <w:lastRenderedPageBreak/>
        <w:t>كنّا قد عرضنا في الجلسة السابقة استدلالات الشهيد الثاني وكاشف اللثام على القول بعدم وجوب نفقة الزوجة في فرض صغر الزوج، كما بيّنّا إشكال الشهيد الثاني على تلك الاستدلالات.</w:t>
      </w:r>
    </w:p>
    <w:p w14:paraId="4143D0B2" w14:textId="77777777" w:rsidR="00E54A06" w:rsidRDefault="00E54A06" w:rsidP="00E54A06">
      <w:pPr>
        <w:widowControl w:val="0"/>
        <w:bidi/>
        <w:spacing w:after="0"/>
        <w:ind w:firstLine="284"/>
        <w:jc w:val="both"/>
        <w:rPr>
          <w:rFonts w:cs="Abz-2 (Badr)"/>
          <w:color w:val="0070C0"/>
          <w:sz w:val="28"/>
          <w:szCs w:val="28"/>
          <w:lang w:bidi="fa-IR"/>
        </w:rPr>
      </w:pPr>
      <w:r>
        <w:rPr>
          <w:rFonts w:cs="Abz-2 (Badr)" w:hint="cs"/>
          <w:color w:val="000000" w:themeColor="text1"/>
          <w:sz w:val="28"/>
          <w:szCs w:val="28"/>
          <w:rtl/>
        </w:rPr>
        <w:t xml:space="preserve">وقد قال صاحب الرياض أيضاً في ردّ مدّعى استحقاق الزوجة للنفقة في هذا الفرض ما نصّه: </w:t>
      </w:r>
      <w:r>
        <w:rPr>
          <w:rFonts w:cs="Abz-2 (Badr)" w:hint="cs"/>
          <w:color w:val="0070C0"/>
          <w:sz w:val="28"/>
          <w:szCs w:val="28"/>
          <w:rtl/>
          <w:lang w:bidi="fa-IR"/>
        </w:rPr>
        <w:t>«</w:t>
      </w:r>
      <w:r>
        <w:rPr>
          <w:rFonts w:cs="Abz-2 (Badr)" w:hint="cs"/>
          <w:color w:val="0070C0"/>
          <w:sz w:val="28"/>
          <w:szCs w:val="28"/>
          <w:rtl/>
          <w:lang w:bidi="ar"/>
        </w:rPr>
        <w:t>المناقشة فيه بعد ما ذكرناه واضحة، بل وأعلامها هنا لائحة؛ لكون الدالّة عليها خطابات وتكاليف لا يمكن صرفها إلى الصغير، وصرفها إلى الولي‌ مدفوع بالأصل، مع استلزامه إمّا حصرها فيه أو استعمالها في متغايرين.»</w:t>
      </w:r>
      <w:r>
        <w:rPr>
          <w:rStyle w:val="FootnoteReference"/>
          <w:rFonts w:cs="Abz-2 (Badr)"/>
          <w:color w:val="000000" w:themeColor="text1"/>
          <w:sz w:val="28"/>
          <w:szCs w:val="28"/>
          <w:rtl/>
          <w:lang w:bidi="ar"/>
        </w:rPr>
        <w:footnoteReference w:id="3"/>
      </w:r>
    </w:p>
    <w:p w14:paraId="61AA2244" w14:textId="77777777" w:rsidR="00E54A06" w:rsidRDefault="00E54A06" w:rsidP="00E54A06">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fa-IR"/>
        </w:rPr>
        <w:t xml:space="preserve">وقال صاحب الجواهر أيضاً في الإشکال علی دعوی المحقّق: </w:t>
      </w:r>
      <w:r>
        <w:rPr>
          <w:rFonts w:cs="Abz-2 (Badr)" w:hint="cs"/>
          <w:color w:val="0070C0"/>
          <w:sz w:val="28"/>
          <w:szCs w:val="28"/>
          <w:rtl/>
          <w:lang w:bidi="fa-IR"/>
        </w:rPr>
        <w:t>«</w:t>
      </w:r>
      <w:r>
        <w:rPr>
          <w:rFonts w:cs="Abz-2 (Badr)" w:hint="cs"/>
          <w:color w:val="0070C0"/>
          <w:sz w:val="28"/>
          <w:szCs w:val="28"/>
          <w:rtl/>
          <w:lang w:bidi="ar"/>
        </w:rPr>
        <w:t>فيه: منع تحقّق التمكين بدون التمكّن، ولو سلّم ـ على أنّ الثابت اشتراطه بذل نفسها وعدم المانع من قبلها ـ فقد يقال: إنّه يشكّ في شمول الأدلة لذلك، ضرورة ظهورها باعتبار أنّها خطابات وتكاليف في غير الصغيرة، وصرفها إلى الولي مدفوع بالأصل، بل قيل: إنّه مستلزم إمّا حصرها فيه أو استعمالها في متغايرين.</w:t>
      </w:r>
    </w:p>
    <w:p w14:paraId="56F1703B" w14:textId="77777777" w:rsidR="00E54A06" w:rsidRDefault="00E54A06" w:rsidP="00E54A06">
      <w:pPr>
        <w:widowControl w:val="0"/>
        <w:bidi/>
        <w:spacing w:after="0"/>
        <w:ind w:firstLine="284"/>
        <w:jc w:val="both"/>
        <w:rPr>
          <w:rFonts w:cs="Abz-2 (Badr)" w:hint="cs"/>
          <w:color w:val="000000" w:themeColor="text1"/>
          <w:sz w:val="28"/>
          <w:szCs w:val="28"/>
          <w:rtl/>
          <w:lang w:bidi="fa-IR"/>
        </w:rPr>
      </w:pPr>
      <w:r>
        <w:rPr>
          <w:rFonts w:cs="Abz-2 (Badr)" w:hint="cs"/>
          <w:color w:val="0070C0"/>
          <w:sz w:val="28"/>
          <w:szCs w:val="28"/>
          <w:rtl/>
          <w:lang w:bidi="ar"/>
        </w:rPr>
        <w:t>ولذا كان قول الشيخ هو المتّجه كما اعترف به كشف اللثام والرياض ومحكي نهاية المرام، كما أنّ منه يعلم عدم الوجه في تفريعه على اشتراط التمكين، لما عرفت من خروج هذا الموضوع عن المنساق من الأدلّة، فيبقى أصل البراءة سالماً عن المعارض، نحو ما سمعته في الصغيرة.»</w:t>
      </w:r>
      <w:r>
        <w:rPr>
          <w:rStyle w:val="FootnoteReference"/>
          <w:rFonts w:cs="Abz-2 (Badr)"/>
          <w:color w:val="000000" w:themeColor="text1"/>
          <w:sz w:val="28"/>
          <w:szCs w:val="28"/>
          <w:rtl/>
          <w:lang w:bidi="ar"/>
        </w:rPr>
        <w:footnoteReference w:id="4"/>
      </w:r>
    </w:p>
    <w:p w14:paraId="076B65FF" w14:textId="77777777" w:rsidR="00E54A06" w:rsidRDefault="00E54A06" w:rsidP="00E54A06">
      <w:pPr>
        <w:widowControl w:val="0"/>
        <w:bidi/>
        <w:spacing w:after="0" w:line="252" w:lineRule="auto"/>
        <w:ind w:firstLine="284"/>
        <w:jc w:val="both"/>
        <w:rPr>
          <w:rFonts w:cs="Abz-2 (Badr)" w:hint="cs"/>
          <w:color w:val="000000" w:themeColor="text1"/>
          <w:sz w:val="28"/>
          <w:szCs w:val="28"/>
          <w:rtl/>
          <w:lang w:bidi="fa-IR"/>
        </w:rPr>
      </w:pPr>
      <w:r>
        <w:rPr>
          <w:rFonts w:cs="Abz-2 (Badr)" w:hint="cs"/>
          <w:b/>
          <w:bCs/>
          <w:color w:val="000000" w:themeColor="text1"/>
          <w:sz w:val="28"/>
          <w:szCs w:val="28"/>
          <w:rtl/>
          <w:lang w:bidi="fa-IR"/>
        </w:rPr>
        <w:t>أقول:</w:t>
      </w:r>
      <w:r>
        <w:rPr>
          <w:rFonts w:cs="Abz-2 (Badr)" w:hint="cs"/>
          <w:color w:val="000000" w:themeColor="text1"/>
          <w:sz w:val="28"/>
          <w:szCs w:val="28"/>
          <w:rtl/>
          <w:lang w:bidi="fa-IR"/>
        </w:rPr>
        <w:t xml:space="preserve"> </w:t>
      </w:r>
      <w:r>
        <w:rPr>
          <w:rFonts w:cs="Abz-2 (Badr)" w:hint="cs"/>
          <w:color w:val="000000" w:themeColor="text1"/>
          <w:sz w:val="28"/>
          <w:szCs w:val="28"/>
          <w:rtl/>
        </w:rPr>
        <w:t>الحقّ في هذه المسألة مع القائلين بوجوب النفقة، وذلك لوجوه:</w:t>
      </w:r>
    </w:p>
    <w:p w14:paraId="3E34A3F4" w14:textId="77777777" w:rsidR="00E54A06" w:rsidRDefault="00E54A06" w:rsidP="00E54A06">
      <w:pPr>
        <w:widowControl w:val="0"/>
        <w:bidi/>
        <w:spacing w:after="0" w:line="252" w:lineRule="auto"/>
        <w:ind w:firstLine="284"/>
        <w:jc w:val="both"/>
        <w:rPr>
          <w:rFonts w:cs="Abz-2 (Badr)"/>
          <w:color w:val="000000" w:themeColor="text1"/>
          <w:sz w:val="28"/>
          <w:szCs w:val="28"/>
          <w:lang w:bidi="fa-IR"/>
        </w:rPr>
      </w:pPr>
      <w:r>
        <w:rPr>
          <w:rFonts w:cs="Abz-2 (Badr)" w:hint="cs"/>
          <w:color w:val="000000" w:themeColor="text1"/>
          <w:sz w:val="28"/>
          <w:szCs w:val="28"/>
          <w:rtl/>
        </w:rPr>
        <w:t>الأوّل: تقدّم أنّ التمكين ليس شرطاً في وجوب النفقة، بل النشوز هو المانع منها، فمع عدم تحقّق النشوز من قبل الزوجة لا يبقى ما يمنع وجوب نفقتها.</w:t>
      </w:r>
    </w:p>
    <w:p w14:paraId="0482A9F3" w14:textId="77777777" w:rsidR="00E54A06" w:rsidRDefault="00E54A06" w:rsidP="00E54A06">
      <w:pPr>
        <w:widowControl w:val="0"/>
        <w:bidi/>
        <w:spacing w:after="0" w:line="252" w:lineRule="auto"/>
        <w:ind w:firstLine="284"/>
        <w:jc w:val="both"/>
        <w:rPr>
          <w:rFonts w:cs="Abz-2 (Badr)"/>
          <w:color w:val="000000" w:themeColor="text1"/>
          <w:sz w:val="28"/>
          <w:szCs w:val="28"/>
          <w:lang w:bidi="fa-IR"/>
        </w:rPr>
      </w:pPr>
      <w:r>
        <w:rPr>
          <w:rFonts w:cs="Abz-2 (Badr)" w:hint="cs"/>
          <w:color w:val="000000" w:themeColor="text1"/>
          <w:sz w:val="28"/>
          <w:szCs w:val="28"/>
          <w:rtl/>
        </w:rPr>
        <w:t>الثاني: حتّى على القول باشتراط التمكين في وجوب النفقة، فإنّ الزوجة ممكّنة، وتمكينها لا يتوقّف على قدرة الزوج على الاستمتاع بها؛ وإلا للزم القول بعدم صدق التمكين في كلّ مورد تعذّر فيه الاستمتاع من جانب الزوج، كالمقطوع الذكر، أو العنّين، أو المغمى عليه ونحو ذلك، وهو ممّا لا يقول به أحد.</w:t>
      </w:r>
    </w:p>
    <w:p w14:paraId="23BE8EBE" w14:textId="77777777" w:rsidR="00E54A06" w:rsidRDefault="00E54A06" w:rsidP="00E54A06">
      <w:pPr>
        <w:widowControl w:val="0"/>
        <w:bidi/>
        <w:spacing w:after="0" w:line="252" w:lineRule="auto"/>
        <w:ind w:firstLine="284"/>
        <w:jc w:val="both"/>
        <w:rPr>
          <w:rFonts w:cs="Abz-2 (Badr)"/>
          <w:color w:val="000000" w:themeColor="text1"/>
          <w:sz w:val="28"/>
          <w:szCs w:val="28"/>
        </w:rPr>
      </w:pPr>
      <w:r>
        <w:rPr>
          <w:rFonts w:cs="Abz-2 (Badr)" w:hint="cs"/>
          <w:color w:val="000000" w:themeColor="text1"/>
          <w:sz w:val="28"/>
          <w:szCs w:val="28"/>
          <w:rtl/>
        </w:rPr>
        <w:lastRenderedPageBreak/>
        <w:t>وبعبارة أُخرى: وإن كان التمكين من المفاهيم ذات الإضافة التي لا تصدق إلا بلحاظ الطرف المقابل بحيث لا يمكن توصيف المرأة بالتمكين مع الغضّ عن وجود رجل في مقابلها، إلا أنّ صدق التمكين يتوقّف على مجرّد وجود طرف يكون ذا قابليّة ذاتيّة للاستمتاع، ولا يشترط فيه أن تكون هذه القابليّة فعليّة.</w:t>
      </w:r>
    </w:p>
    <w:p w14:paraId="6076E317" w14:textId="77777777" w:rsidR="00E54A06" w:rsidRDefault="00E54A06" w:rsidP="00E54A06">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rPr>
        <w:t xml:space="preserve">بل لو سلّم أنّ صغر الزوج يقتضي عدم وجود مقتضٍ للاستمتاع فيه ـ بخلاف سائر الموارد التي ذكرت، كالعنّة أو القطع أو الإغماء، حيث يكون الامتناع فيها ناشئاً عن وجود المانع مع ثبوت المقتضي ـ فلم يصدق في الزوج الصغير أنّ الزوجة مكّنته من نفسها لكونه بمنزلة الجماد من هذه الجهة، غير أنّ ذلك لا يوجب رفع وجوب نفقتها عليه، </w:t>
      </w:r>
      <w:r>
        <w:rPr>
          <w:rFonts w:cs="Abz-2 (Badr)" w:hint="cs"/>
          <w:color w:val="000000" w:themeColor="text1"/>
          <w:sz w:val="28"/>
          <w:szCs w:val="28"/>
          <w:rtl/>
          <w:lang w:bidi="fa-IR"/>
        </w:rPr>
        <w:t>إذ</w:t>
      </w:r>
      <w:r>
        <w:rPr>
          <w:rFonts w:cs="Abz-2 (Badr)" w:hint="cs"/>
          <w:color w:val="000000" w:themeColor="text1"/>
          <w:sz w:val="28"/>
          <w:szCs w:val="28"/>
          <w:rtl/>
        </w:rPr>
        <w:t xml:space="preserve"> مع عدم أهليّة الزوج للاستمتاع لا معنى لتوجّه الأمر بالتمكين إلى الزوجة أصلاً.</w:t>
      </w:r>
    </w:p>
    <w:p w14:paraId="4BF2E1EA" w14:textId="77777777" w:rsidR="00E54A06" w:rsidRDefault="00E54A06" w:rsidP="00E54A06">
      <w:pPr>
        <w:widowControl w:val="0"/>
        <w:bidi/>
        <w:spacing w:after="0" w:line="252" w:lineRule="auto"/>
        <w:ind w:firstLine="284"/>
        <w:jc w:val="both"/>
        <w:rPr>
          <w:rFonts w:cs="Abz-2 (Badr)"/>
          <w:b/>
          <w:bCs/>
          <w:color w:val="000000" w:themeColor="text1"/>
          <w:sz w:val="28"/>
          <w:szCs w:val="28"/>
          <w:lang w:bidi="fa-IR"/>
        </w:rPr>
      </w:pPr>
      <w:r>
        <w:rPr>
          <w:rFonts w:cs="Abz-2 (Badr)" w:hint="cs"/>
          <w:color w:val="000000" w:themeColor="text1"/>
          <w:sz w:val="28"/>
          <w:szCs w:val="28"/>
          <w:rtl/>
        </w:rPr>
        <w:t>وبناءً عليه لا يوجد ما يصلح لتخصيص عموم الأدلّة الدالّة على وجوب نفقة الزوجة على زوجها، فتبقى على عمومها ويحكم بوجوب نفقة الزوجة على الزوج في فرض صغره.</w:t>
      </w:r>
    </w:p>
    <w:p w14:paraId="3FD1B1D0" w14:textId="77777777" w:rsidR="00E54A06" w:rsidRDefault="00E54A06" w:rsidP="00E54A06">
      <w:pPr>
        <w:widowControl w:val="0"/>
        <w:bidi/>
        <w:spacing w:after="0" w:line="252" w:lineRule="auto"/>
        <w:ind w:firstLine="284"/>
        <w:jc w:val="both"/>
        <w:rPr>
          <w:rFonts w:cs="Abz-2 (Badr)"/>
          <w:color w:val="000000" w:themeColor="text1"/>
          <w:sz w:val="28"/>
          <w:szCs w:val="28"/>
          <w:lang w:bidi="fa-IR"/>
        </w:rPr>
      </w:pPr>
      <w:r>
        <w:rPr>
          <w:rFonts w:cs="Abz-2 (Badr)" w:hint="cs"/>
          <w:color w:val="000000" w:themeColor="text1"/>
          <w:sz w:val="28"/>
          <w:szCs w:val="28"/>
          <w:rtl/>
        </w:rPr>
        <w:t>الثالث: إنّ صغر الزوج لا يوجب عدم توجّه أمر النفقة إليه، لأنّ الصغر إنّما يمنع من توجّه الأحكام التكليفيّة إلی الصغير، ولا يمنع من توجّه الأحكام الوضعيّة نحوه.</w:t>
      </w:r>
    </w:p>
    <w:p w14:paraId="6A9F504D" w14:textId="77777777" w:rsidR="00E54A06" w:rsidRDefault="00E54A06" w:rsidP="00E54A06">
      <w:pPr>
        <w:widowControl w:val="0"/>
        <w:bidi/>
        <w:spacing w:after="0" w:line="252" w:lineRule="auto"/>
        <w:ind w:firstLine="284"/>
        <w:jc w:val="both"/>
        <w:rPr>
          <w:rFonts w:cs="Abz-2 (Badr)"/>
          <w:color w:val="000000" w:themeColor="text1"/>
          <w:sz w:val="28"/>
          <w:szCs w:val="28"/>
          <w:lang w:bidi="fa-IR"/>
        </w:rPr>
      </w:pPr>
      <w:r>
        <w:rPr>
          <w:rFonts w:cs="Abz-2 (Badr)" w:hint="cs"/>
          <w:color w:val="000000" w:themeColor="text1"/>
          <w:sz w:val="28"/>
          <w:szCs w:val="28"/>
          <w:rtl/>
        </w:rPr>
        <w:t>وأمّا القول بأنّه لا دليل على توجّه أمر النفقة إلى الولي، أو أنّ ذلك يقتضي أن يتوجّه الأمر بالنفقة إمّا إلى الولي فقط أو إلى الاثنين معاً، فهو دعوىً غريبة، إذ لا فرق بين المقام وبين سائر الموارد الماليّة التي يتوجّه فيها الحكم إلى الصغير ويقوم الوليّ بامتثاله عنه من باب الولاية عليه.</w:t>
      </w:r>
    </w:p>
    <w:p w14:paraId="7CD88EB5" w14:textId="77777777" w:rsidR="00E54A06" w:rsidRDefault="00E54A06" w:rsidP="00E54A06">
      <w:pPr>
        <w:widowControl w:val="0"/>
        <w:bidi/>
        <w:spacing w:after="0" w:line="252" w:lineRule="auto"/>
        <w:ind w:firstLine="284"/>
        <w:jc w:val="both"/>
        <w:rPr>
          <w:rFonts w:cs="Abz-2 (Badr)"/>
          <w:color w:val="000000" w:themeColor="text1"/>
          <w:sz w:val="28"/>
          <w:szCs w:val="28"/>
        </w:rPr>
      </w:pPr>
      <w:r>
        <w:rPr>
          <w:rFonts w:cs="Abz-2 (Badr)" w:hint="cs"/>
          <w:color w:val="000000" w:themeColor="text1"/>
          <w:sz w:val="28"/>
          <w:szCs w:val="28"/>
          <w:rtl/>
        </w:rPr>
        <w:t>فكما أنّه لو توجّه ضمان مالي إلى الصغير، فإنّ الأمر المتوجّه إليه هو الأمر بجبران الخسارة، بينما الأمر المتوجّه إلى الولي هو امتثال ذلك الأمر الصادر في حقّ الصغير من جهة ولايته عليه، كذلك الحال في أمر النفقة.</w:t>
      </w:r>
    </w:p>
    <w:p w14:paraId="1AE7B5CF" w14:textId="77777777" w:rsidR="00E54A06" w:rsidRDefault="00E54A06" w:rsidP="00E54A06">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rPr>
        <w:t>الرابع: إنّ القول بعدم شمول أدلّة النفقات للزوج الصغير دعوىً بلا وجه، إذ لا دليل على اختصاص تلك الأدلّة بالزوج الكبير والزوجة الكبيرة، كما تبيّن في الفرع السابق.</w:t>
      </w:r>
    </w:p>
    <w:p w14:paraId="46368A02" w14:textId="77777777" w:rsidR="00E54A06" w:rsidRDefault="00E54A06" w:rsidP="00E54A06">
      <w:pPr>
        <w:widowControl w:val="0"/>
        <w:bidi/>
        <w:spacing w:after="0" w:line="252" w:lineRule="auto"/>
        <w:ind w:firstLine="284"/>
        <w:jc w:val="both"/>
        <w:rPr>
          <w:rFonts w:cs="Abz-2 (Badr)"/>
          <w:color w:val="00B050"/>
          <w:sz w:val="28"/>
          <w:szCs w:val="28"/>
          <w:lang w:bidi="fa-IR"/>
        </w:rPr>
      </w:pPr>
      <w:r>
        <w:rPr>
          <w:rFonts w:cs="Abz-2 (Badr)" w:hint="cs"/>
          <w:color w:val="000000" w:themeColor="text1"/>
          <w:sz w:val="28"/>
          <w:szCs w:val="28"/>
          <w:rtl/>
        </w:rPr>
        <w:t>وعليه فلا وجه للقول بعدم وجوب نفقة الزوجة على الزوج في هذا الفرض.</w:t>
      </w:r>
      <w:bookmarkEnd w:id="1"/>
    </w:p>
    <w:p w14:paraId="2AD04477" w14:textId="7D63A4A4" w:rsidR="00B706A3" w:rsidRPr="00E54A06" w:rsidRDefault="00B706A3" w:rsidP="00E54A06">
      <w:pPr>
        <w:rPr>
          <w:rtl/>
        </w:rPr>
      </w:pPr>
    </w:p>
    <w:sectPr w:rsidR="00B706A3" w:rsidRPr="00E54A06" w:rsidSect="005815B4">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0525A" w14:textId="77777777" w:rsidR="00884018" w:rsidRDefault="00884018" w:rsidP="00F71127">
      <w:pPr>
        <w:spacing w:after="0" w:line="240" w:lineRule="auto"/>
      </w:pPr>
      <w:r>
        <w:separator/>
      </w:r>
    </w:p>
  </w:endnote>
  <w:endnote w:type="continuationSeparator" w:id="0">
    <w:p w14:paraId="42808164" w14:textId="77777777" w:rsidR="00884018" w:rsidRDefault="00884018"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BF1B4" w14:textId="77777777" w:rsidR="00884018" w:rsidRDefault="00884018" w:rsidP="00EE25C0">
      <w:pPr>
        <w:bidi/>
        <w:spacing w:after="0" w:line="240" w:lineRule="auto"/>
      </w:pPr>
      <w:r>
        <w:separator/>
      </w:r>
    </w:p>
  </w:footnote>
  <w:footnote w:type="continuationSeparator" w:id="0">
    <w:p w14:paraId="528D47B3" w14:textId="77777777" w:rsidR="00884018" w:rsidRDefault="00884018" w:rsidP="00F71127">
      <w:pPr>
        <w:bidi/>
        <w:spacing w:after="0" w:line="240" w:lineRule="auto"/>
      </w:pPr>
      <w:r>
        <w:continuationSeparator/>
      </w:r>
    </w:p>
  </w:footnote>
  <w:footnote w:id="1">
    <w:p w14:paraId="35595754" w14:textId="77777777" w:rsidR="00E54A06" w:rsidRDefault="00E54A06" w:rsidP="00E54A0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رياض،ج12،ص168.</w:t>
      </w:r>
    </w:p>
  </w:footnote>
  <w:footnote w:id="2">
    <w:p w14:paraId="3F77FADF" w14:textId="77777777" w:rsidR="00E54A06" w:rsidRDefault="00E54A06" w:rsidP="00E54A0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جواهر،ج31،ص311 و 312.</w:t>
      </w:r>
    </w:p>
  </w:footnote>
  <w:footnote w:id="3">
    <w:p w14:paraId="78E0102E" w14:textId="77777777" w:rsidR="00E54A06" w:rsidRDefault="00E54A06" w:rsidP="00E54A0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رياض المسائل،ج12،ص168.</w:t>
      </w:r>
    </w:p>
  </w:footnote>
  <w:footnote w:id="4">
    <w:p w14:paraId="46D9A661" w14:textId="77777777" w:rsidR="00E54A06" w:rsidRDefault="00E54A06" w:rsidP="00E54A06">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جواهر الکلام،ج31،ص311 و 312.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1F748839"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سه </w:t>
                          </w:r>
                          <w:r w:rsidR="00A835C9">
                            <w:rPr>
                              <w:rFonts w:cs="B Mehr" w:hint="cs"/>
                              <w:rtl/>
                              <w:lang w:bidi="fa-IR"/>
                            </w:rPr>
                            <w:t>شنبه</w:t>
                          </w:r>
                          <w:r>
                            <w:rPr>
                              <w:rFonts w:cs="B Mehr" w:hint="cs"/>
                              <w:rtl/>
                              <w:lang w:bidi="fa-IR"/>
                            </w:rPr>
                            <w:t xml:space="preserve"> </w:t>
                          </w:r>
                          <w:r>
                            <w:rPr>
                              <w:rFonts w:cs="B Mehr" w:hint="cs"/>
                              <w:rtl/>
                            </w:rPr>
                            <w:t xml:space="preserve">،   </w:t>
                          </w:r>
                          <w:r w:rsidR="00AA2666">
                            <w:rPr>
                              <w:rFonts w:cs="B Mehr" w:hint="cs"/>
                              <w:rtl/>
                              <w:lang w:bidi="fa-IR"/>
                            </w:rPr>
                            <w:t>21</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1F748839"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سه </w:t>
                    </w:r>
                    <w:r w:rsidR="00A835C9">
                      <w:rPr>
                        <w:rFonts w:cs="B Mehr" w:hint="cs"/>
                        <w:rtl/>
                        <w:lang w:bidi="fa-IR"/>
                      </w:rPr>
                      <w:t>شنبه</w:t>
                    </w:r>
                    <w:r>
                      <w:rPr>
                        <w:rFonts w:cs="B Mehr" w:hint="cs"/>
                        <w:rtl/>
                        <w:lang w:bidi="fa-IR"/>
                      </w:rPr>
                      <w:t xml:space="preserve"> </w:t>
                    </w:r>
                    <w:r>
                      <w:rPr>
                        <w:rFonts w:cs="B Mehr" w:hint="cs"/>
                        <w:rtl/>
                      </w:rPr>
                      <w:t xml:space="preserve">،   </w:t>
                    </w:r>
                    <w:r w:rsidR="00AA2666">
                      <w:rPr>
                        <w:rFonts w:cs="B Mehr" w:hint="cs"/>
                        <w:rtl/>
                        <w:lang w:bidi="fa-IR"/>
                      </w:rPr>
                      <w:t>21</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21728</TotalTime>
  <Pages>1</Pages>
  <Words>999</Words>
  <Characters>5696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625</cp:revision>
  <cp:lastPrinted>2025-04-14T09:12:00Z</cp:lastPrinted>
  <dcterms:created xsi:type="dcterms:W3CDTF">2022-10-16T08:36:00Z</dcterms:created>
  <dcterms:modified xsi:type="dcterms:W3CDTF">2025-10-14T14:20:00Z</dcterms:modified>
</cp:coreProperties>
</file>