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0DE04" w14:textId="77777777" w:rsidR="00AA2666" w:rsidRDefault="00AA2666" w:rsidP="00AA2666">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54C1F76C" w14:textId="77777777" w:rsidR="00AA2666" w:rsidRDefault="00AA2666" w:rsidP="00AA2666">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303DDE60" w14:textId="77777777" w:rsidR="00AA2666" w:rsidRDefault="00AA2666" w:rsidP="00AA2666">
      <w:pPr>
        <w:widowControl w:val="0"/>
        <w:bidi/>
        <w:spacing w:after="0"/>
        <w:jc w:val="center"/>
        <w:rPr>
          <w:rFonts w:cs="B Mitra" w:hint="cs"/>
          <w:b/>
          <w:bCs/>
          <w:sz w:val="32"/>
          <w:szCs w:val="32"/>
          <w:rtl/>
          <w:lang w:bidi="fa-IR"/>
        </w:rPr>
      </w:pPr>
      <w:r>
        <w:rPr>
          <w:rFonts w:cs="B Mitra" w:hint="cs"/>
          <w:b/>
          <w:bCs/>
          <w:sz w:val="32"/>
          <w:szCs w:val="32"/>
          <w:rtl/>
          <w:lang w:bidi="fa-IR"/>
        </w:rPr>
        <w:t>جلسه 851</w:t>
      </w:r>
    </w:p>
    <w:p w14:paraId="5088D12E" w14:textId="77777777" w:rsidR="00AA2666" w:rsidRDefault="00AA2666" w:rsidP="00AA2666">
      <w:pPr>
        <w:widowControl w:val="0"/>
        <w:bidi/>
        <w:spacing w:after="0"/>
        <w:ind w:firstLine="284"/>
        <w:jc w:val="both"/>
        <w:rPr>
          <w:rFonts w:cs="Abz-2 (Badr)" w:hint="cs"/>
          <w:sz w:val="28"/>
          <w:szCs w:val="28"/>
          <w:rtl/>
          <w:lang w:bidi="fa-IR"/>
        </w:rPr>
      </w:pPr>
      <w:bookmarkStart w:id="0" w:name="_Hlk159096966"/>
    </w:p>
    <w:bookmarkEnd w:id="0"/>
    <w:p w14:paraId="2BCDB66B" w14:textId="77777777" w:rsidR="00AA2666" w:rsidRDefault="00AA2666" w:rsidP="00AA266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ادامه اشکالاتی که به استدلالات مطرح شده در جلسه قبل مبنی بر عدم استحقاق زوجه صغيره برای نفقه وارد است، به قرار ذيل است:</w:t>
      </w:r>
    </w:p>
    <w:p w14:paraId="0DDBDF25" w14:textId="77777777" w:rsidR="00AA2666" w:rsidRDefault="00AA2666" w:rsidP="00AA266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ثالثاً: اين که تمکينی که شرط نفقه است، تمکين در غير مواردی است که شارع از تمکين نهی کرده است، مدعای صحيحی است، اما اين که ادعا شود: استثناء شرطيت تمکين در مواردی که اهليت بر آن وجود ندارد، معلوم نيست، مدعای عجيبی است، چون همان چيزی که سبب می</w:t>
      </w:r>
      <w:r>
        <w:rPr>
          <w:rFonts w:cs="Abz-2 (Badr)" w:hint="cs"/>
          <w:color w:val="000000" w:themeColor="text1"/>
          <w:sz w:val="28"/>
          <w:szCs w:val="28"/>
          <w:rtl/>
          <w:lang w:bidi="fa-IR"/>
        </w:rPr>
        <w:softHyphen/>
        <w:t>شود در فرض اول، شرطيت تمکين برای نفقه منتفی شود ـ يعنی عدم توجه امر تمکين به زوجه ـ در فرض دوم نيز شرطيت تمکين را منتفی می</w:t>
      </w:r>
      <w:r>
        <w:rPr>
          <w:rFonts w:cs="Abz-2 (Badr)" w:hint="cs"/>
          <w:color w:val="000000" w:themeColor="text1"/>
          <w:sz w:val="28"/>
          <w:szCs w:val="28"/>
          <w:rtl/>
          <w:lang w:bidi="fa-IR"/>
        </w:rPr>
        <w:softHyphen/>
        <w:t>سازد، زيرا عدم توجه امر به کسی که قدرت عقلی بر امتثال آن ندارد واضح</w:t>
      </w:r>
      <w:r>
        <w:rPr>
          <w:rFonts w:cs="Abz-2 (Badr)" w:hint="cs"/>
          <w:color w:val="000000" w:themeColor="text1"/>
          <w:sz w:val="28"/>
          <w:szCs w:val="28"/>
          <w:rtl/>
          <w:lang w:bidi="fa-IR"/>
        </w:rPr>
        <w:softHyphen/>
        <w:t>تر از عدم توجه آن به کسی است که قدرت شرعی برای آن نداشته باشد.</w:t>
      </w:r>
    </w:p>
    <w:p w14:paraId="470C51BA" w14:textId="77777777" w:rsidR="00AA2666" w:rsidRDefault="00AA2666" w:rsidP="00AA266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رابعاً: همان گونه که صاحب جواهر فرموده است، اختصاص حکم در کلمات شهيد ثانی به صبيه غير مراهقه، وجهی ندارد و اين مطلب مخالف اطلاق کلمات اصحاب است، و وجه اين مدعا در کلمات ايشان اين است که استدلالی که ارائه کرده</w:t>
      </w:r>
      <w:r>
        <w:rPr>
          <w:rFonts w:cs="Abz-2 (Badr)" w:hint="cs"/>
          <w:color w:val="000000" w:themeColor="text1"/>
          <w:sz w:val="28"/>
          <w:szCs w:val="28"/>
          <w:rtl/>
          <w:lang w:bidi="fa-IR"/>
        </w:rPr>
        <w:softHyphen/>
        <w:t>اند، صبيه مراهقه را شامل نمی</w:t>
      </w:r>
      <w:r>
        <w:rPr>
          <w:rFonts w:cs="Abz-2 (Badr)" w:hint="cs"/>
          <w:color w:val="000000" w:themeColor="text1"/>
          <w:sz w:val="28"/>
          <w:szCs w:val="28"/>
          <w:rtl/>
          <w:lang w:bidi="fa-IR"/>
        </w:rPr>
        <w:softHyphen/>
        <w:t>گردد. فلذا بايد مدعای ايشان را قول سومی در مسأله بدانيم و استدلال ايشان را نمی</w:t>
      </w:r>
      <w:r>
        <w:rPr>
          <w:rFonts w:cs="Abz-2 (Badr)" w:hint="cs"/>
          <w:color w:val="000000" w:themeColor="text1"/>
          <w:sz w:val="28"/>
          <w:szCs w:val="28"/>
          <w:rtl/>
          <w:lang w:bidi="fa-IR"/>
        </w:rPr>
        <w:softHyphen/>
        <w:t>توان استدلال بر قول مشهور به حساب آورد.</w:t>
      </w:r>
    </w:p>
    <w:p w14:paraId="3EA82AC1" w14:textId="77777777" w:rsidR="00AA2666" w:rsidRDefault="00AA2666" w:rsidP="00AA266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خامساً: آنچه که صاحب جواهر ادعا کرده است مبنی بر شک در شمول اطلاقات اخبار نفقات بر زوجه صغيره ـ که بر اساس آن حتی در فرض مانعيت نشوز برای نفقه نيز بايد ملتزم به عدم وجوب نفقه زوجه صغيره بر زوج گرديد ـ مدعای قابل قبولی نيست و وجهی برای شک در شمول عمومات و اطلاقات اين اخبار بر زوجه صغيره وجود ندارد، وگرنه بايد ملتزم شويم که عمومات و اطلاقات باقی ادله نکاح نيز شامل زوجه صغيره نمی</w:t>
      </w:r>
      <w:r>
        <w:rPr>
          <w:rFonts w:cs="Abz-2 (Badr)" w:hint="cs"/>
          <w:color w:val="000000" w:themeColor="text1"/>
          <w:sz w:val="28"/>
          <w:szCs w:val="28"/>
          <w:rtl/>
          <w:lang w:bidi="fa-IR"/>
        </w:rPr>
        <w:softHyphen/>
        <w:t>شوند.</w:t>
      </w:r>
    </w:p>
    <w:p w14:paraId="547D1451" w14:textId="77777777" w:rsidR="00AA2666" w:rsidRDefault="00AA2666" w:rsidP="00AA266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lastRenderedPageBreak/>
        <w:t>در نتيجه در اين مسأله بايد گفت: از آنجا که حداکثر چيزی که از ادله به دست می</w:t>
      </w:r>
      <w:r>
        <w:rPr>
          <w:rFonts w:cs="Abz-2 (Badr)" w:hint="cs"/>
          <w:color w:val="000000" w:themeColor="text1"/>
          <w:sz w:val="28"/>
          <w:szCs w:val="28"/>
          <w:rtl/>
          <w:lang w:bidi="fa-IR"/>
        </w:rPr>
        <w:softHyphen/>
        <w:t>آيد، مانعيت نشوز برای نفقه است نه اشتراط تمکين در آن، وجوب نفقه زوجه صغيره بر زوج، قطعی و بدون اشکال می</w:t>
      </w:r>
      <w:r>
        <w:rPr>
          <w:rFonts w:cs="Abz-2 (Badr)" w:hint="cs"/>
          <w:color w:val="000000" w:themeColor="text1"/>
          <w:sz w:val="28"/>
          <w:szCs w:val="28"/>
          <w:rtl/>
          <w:lang w:bidi="fa-IR"/>
        </w:rPr>
        <w:softHyphen/>
        <w:t>باشد.</w:t>
      </w:r>
    </w:p>
    <w:p w14:paraId="5D8137F9" w14:textId="77777777" w:rsidR="00AA2666" w:rsidRDefault="00AA2666" w:rsidP="00AA266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بلکه از آنجا که ادله لزوم تمکين از زوج شامل حال زوجه صغيره نمی</w:t>
      </w:r>
      <w:r>
        <w:rPr>
          <w:rFonts w:cs="Abz-2 (Badr)" w:hint="cs"/>
          <w:color w:val="000000" w:themeColor="text1"/>
          <w:sz w:val="28"/>
          <w:szCs w:val="28"/>
          <w:rtl/>
          <w:lang w:bidi="fa-IR"/>
        </w:rPr>
        <w:softHyphen/>
        <w:t>گردد و در نتيجه دليلی که به واسطه آن بتوان دست از عموم ادله وجوب نفقه زوجه بر زوج برداشت در خصوص زوجه صغيره موجود نيست، حتی در فرض قبول اشتراط تمکين در وجوب نفقه نيز نفقه زوجه صغيره بر زوج واجب است.</w:t>
      </w:r>
    </w:p>
    <w:p w14:paraId="414D2F69" w14:textId="77777777" w:rsidR="00AA2666" w:rsidRDefault="00AA2666" w:rsidP="00AA2666">
      <w:pPr>
        <w:widowControl w:val="0"/>
        <w:bidi/>
        <w:spacing w:after="0"/>
        <w:ind w:firstLine="284"/>
        <w:jc w:val="both"/>
        <w:rPr>
          <w:rFonts w:cs="Abz-2 (Badr)" w:hint="cs"/>
          <w:color w:val="000000" w:themeColor="text1"/>
          <w:sz w:val="28"/>
          <w:szCs w:val="28"/>
          <w:rtl/>
          <w:lang w:bidi="fa-IR"/>
        </w:rPr>
      </w:pPr>
      <w:r>
        <w:rPr>
          <w:rFonts w:cs="Abz-2 (Badr)" w:hint="cs"/>
          <w:color w:val="00B050"/>
          <w:sz w:val="28"/>
          <w:szCs w:val="28"/>
          <w:rtl/>
          <w:lang w:bidi="fa-IR"/>
        </w:rPr>
        <w:t>4 ـ</w:t>
      </w:r>
      <w:r>
        <w:rPr>
          <w:rFonts w:cs="Abz-2 (Badr)" w:hint="cs"/>
          <w:color w:val="000000" w:themeColor="text1"/>
          <w:sz w:val="28"/>
          <w:szCs w:val="28"/>
          <w:rtl/>
          <w:lang w:bidi="fa-IR"/>
        </w:rPr>
        <w:t xml:space="preserve"> اگر زوج صغير باشد و زوجه کبيره، آيا زوجه استحقاق نفقه خواهد داشت؟</w:t>
      </w:r>
    </w:p>
    <w:p w14:paraId="4920B4D2" w14:textId="77777777" w:rsidR="00AA2666" w:rsidRDefault="00AA2666" w:rsidP="00AA2666">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شيخ در مبسوط فرموده است: </w:t>
      </w:r>
      <w:r>
        <w:rPr>
          <w:rFonts w:cs="Abz-2 (Badr)" w:hint="cs"/>
          <w:color w:val="0070C0"/>
          <w:sz w:val="28"/>
          <w:szCs w:val="28"/>
          <w:rtl/>
          <w:lang w:bidi="fa-IR"/>
        </w:rPr>
        <w:t>«إ</w:t>
      </w:r>
      <w:r>
        <w:rPr>
          <w:rFonts w:cs="Abz-2 (Badr)" w:hint="cs"/>
          <w:color w:val="0070C0"/>
          <w:sz w:val="28"/>
          <w:szCs w:val="28"/>
          <w:rtl/>
          <w:lang w:bidi="ar"/>
        </w:rPr>
        <w:t>ذا كان الزوج صغيراً وهي كبيرة، قال قوم: لها النفقة. وقال آخرون: لا نفقة لها؛ وهو الأقوى عندي. والأوّل أصحّ عند المخالفين.»</w:t>
      </w:r>
      <w:r>
        <w:rPr>
          <w:rStyle w:val="FootnoteReference"/>
          <w:rFonts w:cs="Abz-2 (Badr)"/>
          <w:color w:val="000000" w:themeColor="text1"/>
          <w:sz w:val="28"/>
          <w:szCs w:val="28"/>
          <w:rtl/>
          <w:lang w:bidi="ar"/>
        </w:rPr>
        <w:footnoteReference w:id="1"/>
      </w:r>
    </w:p>
    <w:p w14:paraId="06C5C8CA" w14:textId="77777777" w:rsidR="00AA2666" w:rsidRDefault="00AA2666" w:rsidP="00AA266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ابن براج و ابن سعيد نيز قائل به همين قول شده</w:t>
      </w:r>
      <w:r>
        <w:rPr>
          <w:rFonts w:cs="Abz-2 (Badr)" w:hint="cs"/>
          <w:color w:val="000000" w:themeColor="text1"/>
          <w:sz w:val="28"/>
          <w:szCs w:val="28"/>
          <w:rtl/>
          <w:lang w:bidi="fa-IR"/>
        </w:rPr>
        <w:softHyphen/>
        <w:t>اند.</w:t>
      </w:r>
      <w:r>
        <w:rPr>
          <w:rStyle w:val="FootnoteReference"/>
          <w:rFonts w:cs="Abz-2 (Badr)"/>
          <w:color w:val="000000" w:themeColor="text1"/>
          <w:sz w:val="28"/>
          <w:szCs w:val="28"/>
          <w:rtl/>
          <w:lang w:bidi="ar"/>
        </w:rPr>
        <w:footnoteReference w:id="2"/>
      </w:r>
    </w:p>
    <w:p w14:paraId="6CB4A175" w14:textId="77777777" w:rsidR="00AA2666" w:rsidRDefault="00AA2666" w:rsidP="00AA266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بلکه از ظاهر کلام ابن ادريس نيز اين گونه برداشت می</w:t>
      </w:r>
      <w:r>
        <w:rPr>
          <w:rFonts w:cs="Abz-2 (Badr)" w:hint="cs"/>
          <w:color w:val="000000" w:themeColor="text1"/>
          <w:sz w:val="28"/>
          <w:szCs w:val="28"/>
          <w:rtl/>
          <w:lang w:bidi="fa-IR"/>
        </w:rPr>
        <w:softHyphen/>
        <w:t>شود که در آين فرض قائل به عدم وجوب نفقه شده است، زيرا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«إذا کانا صغيرين لا نفقة لها»</w:t>
      </w:r>
      <w:r>
        <w:rPr>
          <w:rStyle w:val="FootnoteReference"/>
          <w:rFonts w:cs="Abz-2 (Badr)"/>
          <w:color w:val="000000" w:themeColor="text1"/>
          <w:sz w:val="28"/>
          <w:szCs w:val="28"/>
          <w:rtl/>
          <w:lang w:bidi="ar"/>
        </w:rPr>
        <w:footnoteReference w:id="3"/>
      </w:r>
      <w:r>
        <w:rPr>
          <w:rFonts w:cs="Abz-2 (Badr)" w:hint="cs"/>
          <w:color w:val="000000" w:themeColor="text1"/>
          <w:sz w:val="28"/>
          <w:szCs w:val="28"/>
          <w:rtl/>
          <w:lang w:bidi="fa-IR"/>
        </w:rPr>
        <w:t xml:space="preserve"> و چون ايشان در خصوص نفقه صغيره قائل به وجوب آن شده بود، نتيجه اين خواهد بود که در فرض صغير بودن زوجين، عدم وجوب نفقه زوجه در نزد وی به سبب صغير بودن زوج است.</w:t>
      </w:r>
    </w:p>
    <w:p w14:paraId="68A2E88F" w14:textId="77777777" w:rsidR="00AA2666" w:rsidRDefault="00AA2666" w:rsidP="00AA2666">
      <w:pPr>
        <w:widowControl w:val="0"/>
        <w:bidi/>
        <w:spacing w:after="0" w:line="261"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اما علامه از ابن جنيد اين گونه نقل کرده است: </w:t>
      </w:r>
      <w:r>
        <w:rPr>
          <w:rFonts w:cs="Abz-2 (Badr)" w:hint="cs"/>
          <w:color w:val="0070C0"/>
          <w:sz w:val="28"/>
          <w:szCs w:val="28"/>
          <w:rtl/>
          <w:lang w:bidi="fa-IR"/>
        </w:rPr>
        <w:t>«</w:t>
      </w:r>
      <w:r>
        <w:rPr>
          <w:rFonts w:cs="Abz-2 (Badr)" w:hint="cs"/>
          <w:color w:val="0070C0"/>
          <w:sz w:val="28"/>
          <w:szCs w:val="28"/>
          <w:rtl/>
          <w:lang w:bidi="ar"/>
        </w:rPr>
        <w:t>والتي يمكن وطؤها لبلوغها فلها النفقة، سواء كان الزوج غير بالغ أو بالغاً ممتنعاً من الوطء، إلا أن يكون وليّها شرط أن لا نفقة عليه حتّى يبلغ إلى حال يصحّ‌ وطؤه.»</w:t>
      </w:r>
      <w:r>
        <w:rPr>
          <w:rStyle w:val="FootnoteReference"/>
          <w:rFonts w:cs="Abz-2 (Badr)"/>
          <w:color w:val="000000" w:themeColor="text1"/>
          <w:sz w:val="28"/>
          <w:szCs w:val="28"/>
          <w:rtl/>
          <w:lang w:bidi="ar"/>
        </w:rPr>
        <w:footnoteReference w:id="4"/>
      </w:r>
    </w:p>
    <w:p w14:paraId="4CC094E2" w14:textId="77777777" w:rsidR="00AA2666" w:rsidRDefault="00AA2666" w:rsidP="00AA2666">
      <w:pPr>
        <w:widowControl w:val="0"/>
        <w:bidi/>
        <w:spacing w:after="0" w:line="261" w:lineRule="auto"/>
        <w:ind w:firstLine="284"/>
        <w:jc w:val="both"/>
        <w:rPr>
          <w:rFonts w:cs="Abz-2 (Badr)" w:hint="cs"/>
          <w:color w:val="0070C0"/>
          <w:sz w:val="28"/>
          <w:szCs w:val="28"/>
          <w:rtl/>
        </w:rPr>
      </w:pPr>
      <w:r>
        <w:rPr>
          <w:rFonts w:cs="Abz-2 (Badr)" w:hint="cs"/>
          <w:color w:val="000000" w:themeColor="text1"/>
          <w:sz w:val="28"/>
          <w:szCs w:val="28"/>
          <w:rtl/>
          <w:lang w:bidi="ar"/>
        </w:rPr>
        <w:t>شهيد ثانی در بيان ادله مختار شيخ و اشکال بر آن می</w:t>
      </w:r>
      <w:r>
        <w:rPr>
          <w:rFonts w:cs="Abz-2 (Badr)" w:hint="cs"/>
          <w:color w:val="000000" w:themeColor="text1"/>
          <w:sz w:val="28"/>
          <w:szCs w:val="28"/>
          <w:rtl/>
          <w:lang w:bidi="ar"/>
        </w:rPr>
        <w:softHyphen/>
        <w:t xml:space="preserve">فرمايد: </w:t>
      </w:r>
      <w:r>
        <w:rPr>
          <w:rFonts w:cs="Abz-2 (Badr)" w:hint="cs"/>
          <w:color w:val="0070C0"/>
          <w:sz w:val="28"/>
          <w:szCs w:val="28"/>
          <w:rtl/>
          <w:lang w:bidi="ar"/>
        </w:rPr>
        <w:t xml:space="preserve">«وجه ما ذهب إليه الشيخ عدم إمكان الاستمتاع بها بسبب هو معذور فيه، فلا يلزم غرماً. ولأنّه بعدم أهليّته لا أثر للتمكين في حقّه، فإنّ التمكين شرطه الإمكان وإلا لم يتحقّق. </w:t>
      </w:r>
      <w:r>
        <w:rPr>
          <w:rFonts w:cs="Abz-2 (Badr)" w:hint="cs"/>
          <w:color w:val="0070C0"/>
          <w:sz w:val="28"/>
          <w:szCs w:val="28"/>
          <w:rtl/>
          <w:lang w:bidi="ar"/>
        </w:rPr>
        <w:lastRenderedPageBreak/>
        <w:t xml:space="preserve">ولأنّ الامتناع من جهة الفاعل أقوى من جهة القابل، فإذا أسقط الثاني أسقط الأوّل. </w:t>
      </w:r>
    </w:p>
    <w:p w14:paraId="131C8143" w14:textId="77777777" w:rsidR="00AA2666" w:rsidRDefault="00AA2666" w:rsidP="00AA2666">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وفيه نظر، لمنع تأثير العذر من جهته مع اجتماع شرائط الوجوب من قبلها، لما بيّنّاه سابقا. ولأنّ المعتبر في التمكين رفع المانع من جهتها، والأصل عدم اشتراط أمر آخر، وبه يفرّق بين عجز الفاعل والقابل، لأنّ الشارع رتّب إيجاب النفقة على أسباب، فإذا حصلت وجب أن يثبت الوجوب، والمعلوم منه العقد مع بذل المرأة نفسها أو مع عدم المنع.</w:t>
      </w:r>
    </w:p>
    <w:p w14:paraId="4797B50A" w14:textId="77777777" w:rsidR="00AA2666" w:rsidRDefault="00AA2666" w:rsidP="00AA2666">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ar"/>
        </w:rPr>
        <w:t>فالقول بالوجوب أقوى.»</w:t>
      </w:r>
      <w:r>
        <w:rPr>
          <w:rStyle w:val="FootnoteReference"/>
          <w:rFonts w:cs="Abz-2 (Badr)"/>
          <w:color w:val="000000" w:themeColor="text1"/>
          <w:sz w:val="28"/>
          <w:szCs w:val="28"/>
          <w:rtl/>
          <w:lang w:bidi="ar"/>
        </w:rPr>
        <w:footnoteReference w:id="5"/>
      </w:r>
    </w:p>
    <w:p w14:paraId="22092856" w14:textId="77777777" w:rsidR="00AA2666" w:rsidRDefault="00AA2666" w:rsidP="00AA2666">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fa-IR"/>
        </w:rPr>
        <w:t>اما کاشف اللثام در تأييد مدعای شيخ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فيه: منع تحقّق التمكين، لما ذكرنا من أنّه لا يتحقّق بدون التمكّن، ومنع عموم الأدلّة، لما عرفت من إجمالها.»</w:t>
      </w:r>
      <w:r>
        <w:rPr>
          <w:rStyle w:val="FootnoteReference"/>
          <w:rFonts w:cs="Abz-2 (Badr)"/>
          <w:color w:val="000000" w:themeColor="text1"/>
          <w:sz w:val="28"/>
          <w:szCs w:val="28"/>
          <w:rtl/>
          <w:lang w:bidi="ar"/>
        </w:rPr>
        <w:footnoteReference w:id="6"/>
      </w:r>
    </w:p>
    <w:p w14:paraId="545D2DB4" w14:textId="77777777" w:rsidR="00AA2666" w:rsidRDefault="00AA2666" w:rsidP="00AA2666">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بقيه مطالب را جلسه آينده پی می</w:t>
      </w:r>
      <w:r>
        <w:rPr>
          <w:rFonts w:cs="Abz-2 (Badr)" w:hint="cs"/>
          <w:color w:val="000000" w:themeColor="text1"/>
          <w:sz w:val="28"/>
          <w:szCs w:val="28"/>
          <w:rtl/>
          <w:lang w:bidi="ar"/>
        </w:rPr>
        <w:softHyphen/>
        <w:t>گيريم ان شاء الله.</w:t>
      </w:r>
    </w:p>
    <w:p w14:paraId="15AF30A7" w14:textId="77777777" w:rsidR="00AA2666" w:rsidRDefault="00AA2666" w:rsidP="00AA2666">
      <w:pPr>
        <w:rPr>
          <w:rFonts w:cs="Abz-2 (Badr)" w:hint="cs"/>
          <w:color w:val="000000" w:themeColor="text1"/>
          <w:sz w:val="28"/>
          <w:szCs w:val="28"/>
          <w:rtl/>
          <w:lang w:bidi="ar"/>
        </w:rPr>
      </w:pPr>
      <w:r>
        <w:rPr>
          <w:rFonts w:cs="Abz-2 (Badr)" w:hint="cs"/>
          <w:color w:val="000000" w:themeColor="text1"/>
          <w:sz w:val="28"/>
          <w:szCs w:val="28"/>
          <w:rtl/>
          <w:lang w:bidi="ar"/>
        </w:rPr>
        <w:br w:type="page"/>
      </w:r>
    </w:p>
    <w:p w14:paraId="7CEA3D79" w14:textId="77777777" w:rsidR="00AA2666" w:rsidRDefault="00AA2666" w:rsidP="00AA266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lastRenderedPageBreak/>
        <w:t>تتمّة الإشكالات الواردة على الاستدلالات المطروحة في الجلسة السابقة في مسألة عدم استحقاق الزوجة الصغيرة للنفقة هي على النحو الآتي:</w:t>
      </w:r>
    </w:p>
    <w:p w14:paraId="41453DBF" w14:textId="77777777" w:rsidR="00AA2666" w:rsidRDefault="00AA2666" w:rsidP="00AA2666">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ثالثاً: إنّ القول بأنّ التمكين المشروط في وجوب النفقة إنّما هو التمكين في غير الموارد التي نهى الشارع عن التمكين فيها، قول صحيح في نفسه، إلا أنّ ما ادّعي من أنّ استثناء شرطيّة التمكين في الموارد التي لا أهليّة للزوجة للتمكين فيها غير معلوم، دعوىً غريبة، لأنّ العلّة التي تسقط شرطيّة التمكين في الفرض الأوّل ـ أعني: عدم توجّه أمر التمكين إلى الزوجة ـ هي بعينها تقتضي سقوط شرطيّة التمكين في الفرض الثاني أيضاً، لأنّ عدم توجّه الأمر إلى من لا قدرة عقليّة له على الامتثال، أوضح من عدم توجّهه إلى من لا قدرة شرعيّة له عليه.</w:t>
      </w:r>
    </w:p>
    <w:p w14:paraId="185EACB8" w14:textId="77777777" w:rsidR="00AA2666" w:rsidRDefault="00AA2666" w:rsidP="00AA2666">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رابعاً: لا وجه لاختصاص الحكم في كلمات الشهيد الثاني بالصبيّة غير المراهقة، بل هو مخالف لإطلاق كلمات الأصحاب ـ كما أفاده صاحب الجواهر ـ ووجه هذا التفصيل في کلماته أنّ الاستدلال الذي ذكره في المقام، لا يشمل الصبيّة المراهقة. ولذا يعدّ هذا قولاً ثالثاً في المسألة ولا يکون ما أفاده استدلالاً علی ما ذهب إليه المشهور.</w:t>
      </w:r>
    </w:p>
    <w:p w14:paraId="0314CAA4" w14:textId="77777777" w:rsidR="00AA2666" w:rsidRDefault="00AA2666" w:rsidP="00AA2666">
      <w:pPr>
        <w:widowControl w:val="0"/>
        <w:bidi/>
        <w:spacing w:after="0"/>
        <w:ind w:firstLine="284"/>
        <w:jc w:val="both"/>
        <w:rPr>
          <w:rFonts w:cs="Times New Roman"/>
          <w:color w:val="000000" w:themeColor="text1"/>
          <w:sz w:val="28"/>
          <w:szCs w:val="28"/>
          <w:lang w:bidi="fa-IR"/>
        </w:rPr>
      </w:pPr>
      <w:r>
        <w:rPr>
          <w:rFonts w:cs="Abz-2 (Badr)" w:hint="cs"/>
          <w:color w:val="000000" w:themeColor="text1"/>
          <w:sz w:val="28"/>
          <w:szCs w:val="28"/>
          <w:rtl/>
        </w:rPr>
        <w:t>خامساً: إنّ ما ادّعاه صاحب الجواهر من الشكّ في شمول إطلاقات أخبار النفقات للزوجة الصغيرة ـ والذي يفضي إلی القول بعدم وجوب نفقتها حتّى على مبنى مانعيّة النشوز ـ غير مقبول، إذ لا وجه للشكّ في شمول عمومات وإطلاقات تلك الأخبار للزوجة الصغيرة، وإلا لکان مقتضاه عدم شمول عمومات وإطلاقات سائر أدلّة النکاح أيضاً لها، إذ لا فرق بينها وبين أدلّة النفقات حتّی يقال بعدم شمول أدلّة النفقات للزوجة الصغيرة مع شمول سائر الأدلّة لها.</w:t>
      </w:r>
    </w:p>
    <w:p w14:paraId="4FAEA71B" w14:textId="77777777" w:rsidR="00AA2666" w:rsidRDefault="00AA2666" w:rsidP="00AA2666">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فالنتيجة أنّه حيث تکون غاية ما تقتضيه الأدلّة هو مانعيّة النشوز عن استحقاق النفقة لا اشتراط التمكين فيها والصغيرة لا يصدق عليها أنّها نشزت من حيث عدم تمکينها للزوج، فوجوب نفقتها أمر قطعي لا إشكال فيه.</w:t>
      </w:r>
    </w:p>
    <w:p w14:paraId="7A4D931F" w14:textId="77777777" w:rsidR="00AA2666" w:rsidRDefault="00AA2666" w:rsidP="00AA2666">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بل حيث إنّ أدلّة وجوب التمكين من الزوج لا تشمل الزوجة الصغيرة ولا دليل على خروجها عن عموم أدلّة وجوب نفقة الزوجة على زوجها، فحتّى على فرض القول باشتراط التمكين في وجوب النفقة، تبقى نفقة الزوجة الصغيرة واجبة على الزوج بلا تردّد.</w:t>
      </w:r>
    </w:p>
    <w:p w14:paraId="0D11F4B7" w14:textId="77777777" w:rsidR="00AA2666" w:rsidRDefault="00AA2666" w:rsidP="00AA2666">
      <w:pPr>
        <w:widowControl w:val="0"/>
        <w:bidi/>
        <w:spacing w:after="0"/>
        <w:ind w:firstLine="284"/>
        <w:jc w:val="both"/>
        <w:rPr>
          <w:rFonts w:cs="Abz-2 (Badr)"/>
          <w:color w:val="000000" w:themeColor="text1"/>
          <w:sz w:val="28"/>
          <w:szCs w:val="28"/>
        </w:rPr>
      </w:pPr>
      <w:r>
        <w:rPr>
          <w:rFonts w:cs="Abz-2 (Badr)" w:hint="cs"/>
          <w:color w:val="00B050"/>
          <w:sz w:val="28"/>
          <w:szCs w:val="28"/>
          <w:rtl/>
          <w:lang w:bidi="fa-IR"/>
        </w:rPr>
        <w:t>الرابعة:</w:t>
      </w:r>
      <w:r>
        <w:rPr>
          <w:rFonts w:cs="Abz-2 (Badr)" w:hint="cs"/>
          <w:color w:val="000000" w:themeColor="text1"/>
          <w:sz w:val="28"/>
          <w:szCs w:val="28"/>
          <w:rtl/>
          <w:lang w:bidi="fa-IR"/>
        </w:rPr>
        <w:t xml:space="preserve"> </w:t>
      </w:r>
      <w:r>
        <w:rPr>
          <w:rFonts w:cs="Abz-2 (Badr)" w:hint="cs"/>
          <w:color w:val="000000" w:themeColor="text1"/>
          <w:sz w:val="28"/>
          <w:szCs w:val="28"/>
          <w:rtl/>
        </w:rPr>
        <w:t>إذا كان الزوج صغيراً والزوجة كبيرة، فهل تستحقّ الزوجة النفقة؟</w:t>
      </w:r>
    </w:p>
    <w:p w14:paraId="04E5CC0D" w14:textId="77777777" w:rsidR="00AA2666" w:rsidRDefault="00AA2666" w:rsidP="00AA2666">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lastRenderedPageBreak/>
        <w:t xml:space="preserve">قال الشيخ في المبسوط: </w:t>
      </w:r>
      <w:r>
        <w:rPr>
          <w:rFonts w:cs="Abz-2 (Badr)" w:hint="cs"/>
          <w:color w:val="0070C0"/>
          <w:sz w:val="28"/>
          <w:szCs w:val="28"/>
          <w:rtl/>
          <w:lang w:bidi="fa-IR"/>
        </w:rPr>
        <w:t>«إ</w:t>
      </w:r>
      <w:r>
        <w:rPr>
          <w:rFonts w:cs="Abz-2 (Badr)" w:hint="cs"/>
          <w:color w:val="0070C0"/>
          <w:sz w:val="28"/>
          <w:szCs w:val="28"/>
          <w:rtl/>
          <w:lang w:bidi="ar"/>
        </w:rPr>
        <w:t>ذا كان الزوج صغيراً وهي كبيرة، قال قوم: لها النفقة. وقال آخرون: لا نفقة لها؛ وهو الأقوى عندي. والأوّل أصحّ عند المخالفين.»</w:t>
      </w:r>
      <w:r>
        <w:rPr>
          <w:rStyle w:val="FootnoteReference"/>
          <w:rFonts w:cs="Abz-2 (Badr)"/>
          <w:color w:val="000000" w:themeColor="text1"/>
          <w:sz w:val="28"/>
          <w:szCs w:val="28"/>
          <w:rtl/>
          <w:lang w:bidi="ar"/>
        </w:rPr>
        <w:footnoteReference w:id="7"/>
      </w:r>
    </w:p>
    <w:p w14:paraId="7ED1D1B4" w14:textId="77777777" w:rsidR="00AA2666" w:rsidRDefault="00AA2666" w:rsidP="00AA266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وذهب ابن البرّاج وابن سعيد إلى هذا القول أيضاً</w:t>
      </w:r>
      <w:r>
        <w:rPr>
          <w:rFonts w:cs="Abz-2 (Badr)" w:hint="cs"/>
          <w:color w:val="000000" w:themeColor="text1"/>
          <w:sz w:val="28"/>
          <w:szCs w:val="28"/>
          <w:rtl/>
          <w:lang w:bidi="fa-IR"/>
        </w:rPr>
        <w:t>.</w:t>
      </w:r>
      <w:r>
        <w:rPr>
          <w:rStyle w:val="FootnoteReference"/>
          <w:rFonts w:cs="Abz-2 (Badr)"/>
          <w:color w:val="000000" w:themeColor="text1"/>
          <w:sz w:val="28"/>
          <w:szCs w:val="28"/>
          <w:rtl/>
          <w:lang w:bidi="ar"/>
        </w:rPr>
        <w:footnoteReference w:id="8"/>
      </w:r>
    </w:p>
    <w:p w14:paraId="5266F56E" w14:textId="77777777" w:rsidR="00AA2666" w:rsidRDefault="00AA2666" w:rsidP="00AA266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بل يفهم من ظاهر كلام ابن إدريس أنّه قائل بعدم وجوب النفقة في هذا الفرض حيث قال: «</w:t>
      </w:r>
      <w:r>
        <w:rPr>
          <w:rFonts w:cs="Abz-2 (Badr)" w:hint="cs"/>
          <w:color w:val="0070C0"/>
          <w:sz w:val="28"/>
          <w:szCs w:val="28"/>
          <w:rtl/>
        </w:rPr>
        <w:t>إذا كانا صغيرين لا نفقة لها</w:t>
      </w:r>
      <w:r>
        <w:rPr>
          <w:rFonts w:cs="Abz-2 (Badr)" w:hint="cs"/>
          <w:color w:val="000000" w:themeColor="text1"/>
          <w:sz w:val="28"/>
          <w:szCs w:val="28"/>
          <w:rtl/>
        </w:rPr>
        <w:t>»</w:t>
      </w:r>
      <w:r>
        <w:rPr>
          <w:rStyle w:val="FootnoteReference"/>
          <w:rFonts w:cs="Abz-2 (Badr)"/>
          <w:color w:val="000000" w:themeColor="text1"/>
          <w:sz w:val="28"/>
          <w:szCs w:val="28"/>
          <w:rtl/>
          <w:lang w:bidi="ar"/>
        </w:rPr>
        <w:footnoteReference w:id="9"/>
      </w:r>
      <w:r>
        <w:rPr>
          <w:rFonts w:cs="Abz-2 (Badr)" w:hint="cs"/>
          <w:color w:val="000000" w:themeColor="text1"/>
          <w:sz w:val="28"/>
          <w:szCs w:val="28"/>
          <w:rtl/>
        </w:rPr>
        <w:t>، وبما أنّه قد ذهب إلى وجوب نفقة الزوجة الصغيرة، يستفاد من کلامه أنّ عدم وجوب نفقة الزوجة في فرض صغر الزوجين إنّما هو عنده ناشئ عن صغر الزوج.</w:t>
      </w:r>
    </w:p>
    <w:p w14:paraId="52E24D5C" w14:textId="77777777" w:rsidR="00AA2666" w:rsidRDefault="00AA2666" w:rsidP="00AA2666">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 xml:space="preserve">إلا أنّ العلامة نقل عن ابن الجنيد قوله: </w:t>
      </w:r>
      <w:r>
        <w:rPr>
          <w:rFonts w:cs="Abz-2 (Badr)" w:hint="cs"/>
          <w:color w:val="0070C0"/>
          <w:sz w:val="28"/>
          <w:szCs w:val="28"/>
          <w:rtl/>
          <w:lang w:bidi="fa-IR"/>
        </w:rPr>
        <w:t>«</w:t>
      </w:r>
      <w:r>
        <w:rPr>
          <w:rFonts w:cs="Abz-2 (Badr)" w:hint="cs"/>
          <w:color w:val="0070C0"/>
          <w:sz w:val="28"/>
          <w:szCs w:val="28"/>
          <w:rtl/>
          <w:lang w:bidi="ar"/>
        </w:rPr>
        <w:t>والتي يمكن وطؤها لبلوغها فلها النفقة، سواء كان الزوج غير بالغ أو بالغاً ممتنعاً من الوطء، إلا أن يكون وليّها شرط أن لا نفقة عليه حتّى يبلغ إلى حال يصحّ‌ وطؤه.»</w:t>
      </w:r>
      <w:r>
        <w:rPr>
          <w:rStyle w:val="FootnoteReference"/>
          <w:rFonts w:cs="Abz-2 (Badr)"/>
          <w:color w:val="000000" w:themeColor="text1"/>
          <w:sz w:val="28"/>
          <w:szCs w:val="28"/>
          <w:rtl/>
          <w:lang w:bidi="ar"/>
        </w:rPr>
        <w:footnoteReference w:id="10"/>
      </w:r>
    </w:p>
    <w:p w14:paraId="4EBE9870" w14:textId="77777777" w:rsidR="00AA2666" w:rsidRDefault="00AA2666" w:rsidP="00AA2666">
      <w:pPr>
        <w:widowControl w:val="0"/>
        <w:bidi/>
        <w:spacing w:after="0" w:line="261" w:lineRule="auto"/>
        <w:ind w:firstLine="284"/>
        <w:jc w:val="both"/>
        <w:rPr>
          <w:rFonts w:cs="Abz-2 (Badr)"/>
          <w:color w:val="0070C0"/>
          <w:sz w:val="28"/>
          <w:szCs w:val="28"/>
        </w:rPr>
      </w:pPr>
      <w:r>
        <w:rPr>
          <w:rFonts w:cs="Abz-2 (Badr)" w:hint="cs"/>
          <w:color w:val="000000" w:themeColor="text1"/>
          <w:sz w:val="28"/>
          <w:szCs w:val="28"/>
          <w:rtl/>
          <w:lang w:bidi="ar"/>
        </w:rPr>
        <w:t xml:space="preserve">ثمّ إنّ الشهيد الثاني قال في بيان أدلّه مختار الشيخ والإشکال عليها: </w:t>
      </w:r>
      <w:r>
        <w:rPr>
          <w:rFonts w:cs="Abz-2 (Badr)" w:hint="cs"/>
          <w:color w:val="0070C0"/>
          <w:sz w:val="28"/>
          <w:szCs w:val="28"/>
          <w:rtl/>
          <w:lang w:bidi="ar"/>
        </w:rPr>
        <w:t xml:space="preserve">«وجه ما ذهب إليه الشيخ عدم إمكان الاستمتاع بها بسبب هو معذور فيه، فلا يلزم غرماً. ولأنّه بعدم أهليّته لا أثر للتمكين في حقّه، فإنّ التمكين شرطه الإمكان وإلا لم يتحقّق. ولأنّ الامتناع من جهة الفاعل أقوى من جهة القابل، فإذا أسقط الثاني أسقط الأوّل. </w:t>
      </w:r>
    </w:p>
    <w:p w14:paraId="00EAEE9D" w14:textId="77777777" w:rsidR="00AA2666" w:rsidRDefault="00AA2666" w:rsidP="00AA2666">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وفيه نظر، لمنع تأثير العذر من جهته مع اجتماع شرائط الوجوب من قبلها، لما بيّنّاه سابقا. ولأنّ المعتبر في التمكين رفع المانع من جهتها، والأصل عدم اشتراط أمر آخر، وبه يفرّق بين عجز الفاعل والقابل، لأنّ الشارع رتّب إيجاب النفقة على أسباب، فإذا حصلت وجب أن يثبت الوجوب، والمعلوم منه العقد مع بذل المرأة نفسها أو مع عدم المنع.</w:t>
      </w:r>
    </w:p>
    <w:p w14:paraId="4FD09C0E" w14:textId="77777777" w:rsidR="00AA2666" w:rsidRDefault="00AA2666" w:rsidP="00AA2666">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ar"/>
        </w:rPr>
        <w:t>فالقول بالوجوب أقوى.»</w:t>
      </w:r>
      <w:r>
        <w:rPr>
          <w:rStyle w:val="FootnoteReference"/>
          <w:rFonts w:cs="Abz-2 (Badr)"/>
          <w:color w:val="000000" w:themeColor="text1"/>
          <w:sz w:val="28"/>
          <w:szCs w:val="28"/>
          <w:rtl/>
          <w:lang w:bidi="ar"/>
        </w:rPr>
        <w:footnoteReference w:id="11"/>
      </w:r>
    </w:p>
    <w:p w14:paraId="10FFA692" w14:textId="77777777" w:rsidR="00AA2666" w:rsidRDefault="00AA2666" w:rsidP="00AA2666">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fa-IR"/>
        </w:rPr>
        <w:t xml:space="preserve">ولکن قال کاشف اللثام تأييداً لما ذهب إليه الشيخ: </w:t>
      </w:r>
      <w:r>
        <w:rPr>
          <w:rFonts w:cs="Abz-2 (Badr)" w:hint="cs"/>
          <w:color w:val="0070C0"/>
          <w:sz w:val="28"/>
          <w:szCs w:val="28"/>
          <w:rtl/>
          <w:lang w:bidi="fa-IR"/>
        </w:rPr>
        <w:t>«</w:t>
      </w:r>
      <w:r>
        <w:rPr>
          <w:rFonts w:cs="Abz-2 (Badr)" w:hint="cs"/>
          <w:color w:val="0070C0"/>
          <w:sz w:val="28"/>
          <w:szCs w:val="28"/>
          <w:rtl/>
          <w:lang w:bidi="ar"/>
        </w:rPr>
        <w:t xml:space="preserve">فيه: منع تحقّق التمكين، لما ذكرنا من أنّه لا يتحقّق بدون التمكّن، </w:t>
      </w:r>
      <w:r>
        <w:rPr>
          <w:rFonts w:cs="Abz-2 (Badr)" w:hint="cs"/>
          <w:color w:val="0070C0"/>
          <w:sz w:val="28"/>
          <w:szCs w:val="28"/>
          <w:rtl/>
          <w:lang w:bidi="ar"/>
        </w:rPr>
        <w:lastRenderedPageBreak/>
        <w:t>ومنع عموم الأدلّة، لما عرفت من إجمالها.»</w:t>
      </w:r>
      <w:r>
        <w:rPr>
          <w:rStyle w:val="FootnoteReference"/>
          <w:rFonts w:cs="Abz-2 (Badr)"/>
          <w:color w:val="000000" w:themeColor="text1"/>
          <w:sz w:val="28"/>
          <w:szCs w:val="28"/>
          <w:rtl/>
          <w:lang w:bidi="ar"/>
        </w:rPr>
        <w:footnoteReference w:id="12"/>
      </w:r>
    </w:p>
    <w:p w14:paraId="3AA5FA0B" w14:textId="77777777" w:rsidR="00AA2666" w:rsidRDefault="00AA2666" w:rsidP="00AA2666">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rPr>
        <w:t>ونتابع بقية المطالب في الجلسة القادمة إن شاء الله.</w:t>
      </w:r>
    </w:p>
    <w:p w14:paraId="2AD04477" w14:textId="7D63A4A4" w:rsidR="00B706A3" w:rsidRPr="00AA2666" w:rsidRDefault="00B706A3" w:rsidP="00AA2666">
      <w:pPr>
        <w:rPr>
          <w:rtl/>
        </w:rPr>
      </w:pPr>
    </w:p>
    <w:sectPr w:rsidR="00B706A3" w:rsidRPr="00AA2666"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E5755" w14:textId="77777777" w:rsidR="004C1512" w:rsidRDefault="004C1512" w:rsidP="00F71127">
      <w:pPr>
        <w:spacing w:after="0" w:line="240" w:lineRule="auto"/>
      </w:pPr>
      <w:r>
        <w:separator/>
      </w:r>
    </w:p>
  </w:endnote>
  <w:endnote w:type="continuationSeparator" w:id="0">
    <w:p w14:paraId="2A327F5B" w14:textId="77777777" w:rsidR="004C1512" w:rsidRDefault="004C1512"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E723" w14:textId="77777777" w:rsidR="00837B06" w:rsidRDefault="00837B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7D5C" w14:textId="77777777" w:rsidR="00837B06" w:rsidRDefault="00837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137D2" w14:textId="77777777" w:rsidR="004C1512" w:rsidRDefault="004C1512" w:rsidP="00EE25C0">
      <w:pPr>
        <w:bidi/>
        <w:spacing w:after="0" w:line="240" w:lineRule="auto"/>
      </w:pPr>
      <w:r>
        <w:separator/>
      </w:r>
    </w:p>
  </w:footnote>
  <w:footnote w:type="continuationSeparator" w:id="0">
    <w:p w14:paraId="26FAE810" w14:textId="77777777" w:rsidR="004C1512" w:rsidRDefault="004C1512" w:rsidP="00F71127">
      <w:pPr>
        <w:bidi/>
        <w:spacing w:after="0" w:line="240" w:lineRule="auto"/>
      </w:pPr>
      <w:r>
        <w:continuationSeparator/>
      </w:r>
    </w:p>
  </w:footnote>
  <w:footnote w:id="1">
    <w:p w14:paraId="0C764B05" w14:textId="77777777" w:rsidR="00AA2666" w:rsidRDefault="00AA2666" w:rsidP="00AA26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مبسوط،ج6،ص12 و 13.</w:t>
      </w:r>
    </w:p>
  </w:footnote>
  <w:footnote w:id="2">
    <w:p w14:paraId="3128BC2F" w14:textId="77777777" w:rsidR="00AA2666" w:rsidRDefault="00AA2666" w:rsidP="00AA26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المهذّب،ج2،ص347 ـ الجامع للشرائع،ص489.</w:t>
      </w:r>
    </w:p>
  </w:footnote>
  <w:footnote w:id="3">
    <w:p w14:paraId="02C827DA" w14:textId="77777777" w:rsidR="00AA2666" w:rsidRDefault="00AA2666" w:rsidP="00AA26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سرائر،ج2،ص655.</w:t>
      </w:r>
    </w:p>
  </w:footnote>
  <w:footnote w:id="4">
    <w:p w14:paraId="53AD8254" w14:textId="77777777" w:rsidR="00AA2666" w:rsidRDefault="00AA2666" w:rsidP="00AA26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مختلف،ج7،ص320.</w:t>
      </w:r>
    </w:p>
  </w:footnote>
  <w:footnote w:id="5">
    <w:p w14:paraId="426DA9D5" w14:textId="77777777" w:rsidR="00AA2666" w:rsidRDefault="00AA2666" w:rsidP="00AA26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مسالك،ج8،ص443 و 444.</w:t>
      </w:r>
    </w:p>
  </w:footnote>
  <w:footnote w:id="6">
    <w:p w14:paraId="04192EA5" w14:textId="77777777" w:rsidR="00AA2666" w:rsidRDefault="00AA2666" w:rsidP="00AA26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کشف اللثام،ج7،ص562.</w:t>
      </w:r>
    </w:p>
  </w:footnote>
  <w:footnote w:id="7">
    <w:p w14:paraId="551F1062" w14:textId="77777777" w:rsidR="00AA2666" w:rsidRDefault="00AA2666" w:rsidP="00AA26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المبسوط،ج6،ص12 و 13.</w:t>
      </w:r>
    </w:p>
  </w:footnote>
  <w:footnote w:id="8">
    <w:p w14:paraId="23C47265" w14:textId="77777777" w:rsidR="00AA2666" w:rsidRDefault="00AA2666" w:rsidP="00AA26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المهذّب،ج2،ص347 ـ الجامع للشرائع،ص489.</w:t>
      </w:r>
    </w:p>
  </w:footnote>
  <w:footnote w:id="9">
    <w:p w14:paraId="42654AA8" w14:textId="77777777" w:rsidR="00AA2666" w:rsidRDefault="00AA2666" w:rsidP="00AA26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کتاب السرائر،ج2،ص655.</w:t>
      </w:r>
    </w:p>
  </w:footnote>
  <w:footnote w:id="10">
    <w:p w14:paraId="42EDF130" w14:textId="77777777" w:rsidR="00AA2666" w:rsidRDefault="00AA2666" w:rsidP="00AA26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مختلف الشيعة،ج7،ص320.</w:t>
      </w:r>
    </w:p>
  </w:footnote>
  <w:footnote w:id="11">
    <w:p w14:paraId="3D4A9654" w14:textId="77777777" w:rsidR="00AA2666" w:rsidRDefault="00AA2666" w:rsidP="00AA26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 الأفهام،ج8،ص443 و 444.</w:t>
      </w:r>
    </w:p>
  </w:footnote>
  <w:footnote w:id="12">
    <w:p w14:paraId="7175F0D3" w14:textId="77777777" w:rsidR="00AA2666" w:rsidRDefault="00AA2666" w:rsidP="00AA266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کشف اللثام،ج7،ص562.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36CC5" w14:textId="77777777" w:rsidR="00837B06" w:rsidRDefault="00837B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769F2CD1"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AA2666">
                            <w:rPr>
                              <w:rFonts w:cs="B Mehr" w:hint="cs"/>
                              <w:rtl/>
                              <w:lang w:bidi="fa-IR"/>
                            </w:rPr>
                            <w:t>دو</w:t>
                          </w:r>
                          <w:r w:rsidR="00A835C9">
                            <w:rPr>
                              <w:rFonts w:cs="B Mehr" w:hint="cs"/>
                              <w:rtl/>
                              <w:lang w:bidi="fa-IR"/>
                            </w:rPr>
                            <w:t>شنبه</w:t>
                          </w:r>
                          <w:r>
                            <w:rPr>
                              <w:rFonts w:cs="B Mehr" w:hint="cs"/>
                              <w:rtl/>
                              <w:lang w:bidi="fa-IR"/>
                            </w:rPr>
                            <w:t xml:space="preserve"> </w:t>
                          </w:r>
                          <w:r>
                            <w:rPr>
                              <w:rFonts w:cs="B Mehr" w:hint="cs"/>
                              <w:rtl/>
                            </w:rPr>
                            <w:t xml:space="preserve">،   </w:t>
                          </w:r>
                          <w:r w:rsidR="00AA2666">
                            <w:rPr>
                              <w:rFonts w:cs="B Mehr" w:hint="cs"/>
                              <w:rtl/>
                              <w:lang w:bidi="fa-IR"/>
                            </w:rPr>
                            <w:t>21</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769F2CD1"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AA2666">
                      <w:rPr>
                        <w:rFonts w:cs="B Mehr" w:hint="cs"/>
                        <w:rtl/>
                        <w:lang w:bidi="fa-IR"/>
                      </w:rPr>
                      <w:t>دو</w:t>
                    </w:r>
                    <w:r w:rsidR="00A835C9">
                      <w:rPr>
                        <w:rFonts w:cs="B Mehr" w:hint="cs"/>
                        <w:rtl/>
                        <w:lang w:bidi="fa-IR"/>
                      </w:rPr>
                      <w:t>شنبه</w:t>
                    </w:r>
                    <w:r>
                      <w:rPr>
                        <w:rFonts w:cs="B Mehr" w:hint="cs"/>
                        <w:rtl/>
                        <w:lang w:bidi="fa-IR"/>
                      </w:rPr>
                      <w:t xml:space="preserve"> </w:t>
                    </w:r>
                    <w:r>
                      <w:rPr>
                        <w:rFonts w:cs="B Mehr" w:hint="cs"/>
                        <w:rtl/>
                      </w:rPr>
                      <w:t xml:space="preserve">،   </w:t>
                    </w:r>
                    <w:r w:rsidR="00AA2666">
                      <w:rPr>
                        <w:rFonts w:cs="B Mehr" w:hint="cs"/>
                        <w:rtl/>
                        <w:lang w:bidi="fa-IR"/>
                      </w:rPr>
                      <w:t>21</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D1A79" w14:textId="77777777" w:rsidR="00837B06" w:rsidRDefault="00837B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21727</TotalTime>
  <Pages>1</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623</cp:revision>
  <cp:lastPrinted>2025-04-14T09:12:00Z</cp:lastPrinted>
  <dcterms:created xsi:type="dcterms:W3CDTF">2022-10-16T08:36:00Z</dcterms:created>
  <dcterms:modified xsi:type="dcterms:W3CDTF">2025-10-13T08:16:00Z</dcterms:modified>
</cp:coreProperties>
</file>