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6B148" w14:textId="77777777" w:rsidR="005A0C80" w:rsidRPr="00652E92" w:rsidRDefault="005A0C80" w:rsidP="005A0C80">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6ADC012D" w14:textId="77777777" w:rsidR="005A0C80" w:rsidRPr="00652E92" w:rsidRDefault="005A0C80" w:rsidP="005A0C80">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15261C74" w14:textId="33F6C734" w:rsidR="005A0C80" w:rsidRPr="00652E92" w:rsidRDefault="005A0C80" w:rsidP="005A0C80">
      <w:pPr>
        <w:widowControl w:val="0"/>
        <w:bidi/>
        <w:spacing w:after="0"/>
        <w:jc w:val="center"/>
        <w:rPr>
          <w:rFonts w:cs="B Mitra"/>
          <w:b/>
          <w:bCs/>
          <w:sz w:val="32"/>
          <w:szCs w:val="32"/>
          <w:rtl/>
          <w:lang w:bidi="fa-IR"/>
        </w:rPr>
      </w:pPr>
      <w:r w:rsidRPr="00652E92">
        <w:rPr>
          <w:rFonts w:cs="B Mitra" w:hint="cs"/>
          <w:b/>
          <w:bCs/>
          <w:sz w:val="32"/>
          <w:szCs w:val="32"/>
          <w:rtl/>
          <w:lang w:bidi="fa-IR"/>
        </w:rPr>
        <w:t xml:space="preserve">جلسه </w:t>
      </w:r>
      <w:r>
        <w:rPr>
          <w:rFonts w:cs="B Mitra" w:hint="cs"/>
          <w:b/>
          <w:bCs/>
          <w:sz w:val="32"/>
          <w:szCs w:val="32"/>
          <w:rtl/>
          <w:lang w:bidi="fa-IR"/>
        </w:rPr>
        <w:t>84</w:t>
      </w:r>
      <w:r>
        <w:rPr>
          <w:rFonts w:cs="B Mitra" w:hint="cs"/>
          <w:b/>
          <w:bCs/>
          <w:sz w:val="32"/>
          <w:szCs w:val="32"/>
          <w:rtl/>
          <w:lang w:bidi="fa-IR"/>
        </w:rPr>
        <w:t>7</w:t>
      </w:r>
    </w:p>
    <w:p w14:paraId="721E406A" w14:textId="77777777" w:rsidR="005A0C80" w:rsidRDefault="005A0C80" w:rsidP="005A0C80">
      <w:pPr>
        <w:widowControl w:val="0"/>
        <w:bidi/>
        <w:spacing w:after="0"/>
        <w:ind w:firstLine="284"/>
        <w:jc w:val="both"/>
        <w:rPr>
          <w:rFonts w:cs="Abz-2 (Badr)"/>
          <w:sz w:val="28"/>
          <w:szCs w:val="28"/>
          <w:rtl/>
          <w:lang w:bidi="fa-IR"/>
        </w:rPr>
      </w:pPr>
      <w:bookmarkStart w:id="0" w:name="_Hlk159096966"/>
    </w:p>
    <w:p w14:paraId="0D9A1E25" w14:textId="77777777" w:rsidR="005A0C80" w:rsidRDefault="005A0C80" w:rsidP="005A0C80">
      <w:pPr>
        <w:widowControl w:val="0"/>
        <w:bidi/>
        <w:spacing w:after="0" w:line="257" w:lineRule="auto"/>
        <w:ind w:firstLine="284"/>
        <w:jc w:val="both"/>
        <w:rPr>
          <w:rFonts w:cs="Abz-2 (Badr)"/>
          <w:color w:val="000000" w:themeColor="text1"/>
          <w:sz w:val="28"/>
          <w:szCs w:val="28"/>
          <w:rtl/>
          <w:lang w:bidi="fa-IR"/>
        </w:rPr>
      </w:pPr>
      <w:bookmarkStart w:id="1" w:name="_Hlk210557613"/>
      <w:bookmarkStart w:id="2" w:name="_Hlk209798859"/>
      <w:bookmarkEnd w:id="0"/>
      <w:r>
        <w:rPr>
          <w:rFonts w:cs="Abz-2 (Badr)" w:hint="cs"/>
          <w:color w:val="000000" w:themeColor="text1"/>
          <w:sz w:val="28"/>
          <w:szCs w:val="28"/>
          <w:rtl/>
          <w:lang w:bidi="fa-IR"/>
        </w:rPr>
        <w:t xml:space="preserve">گفتيم که </w:t>
      </w:r>
      <w:bookmarkStart w:id="3" w:name="_Hlk210641920"/>
      <w:r>
        <w:rPr>
          <w:rFonts w:cs="Abz-2 (Badr)" w:hint="cs"/>
          <w:color w:val="000000" w:themeColor="text1"/>
          <w:sz w:val="28"/>
          <w:szCs w:val="28"/>
          <w:rtl/>
          <w:lang w:bidi="fa-IR"/>
        </w:rPr>
        <w:t>در موارد شک در اين که دليلی سبب اخراج حکمی يک فرد از تحت دليل دوم شده است يا اين که آن فرد را موضوعاً از تحت دليل دوم خارج کرده است، مقتضای اصل، تخصيص است.</w:t>
      </w:r>
    </w:p>
    <w:p w14:paraId="6C8319D3" w14:textId="77777777" w:rsidR="005A0C80" w:rsidRDefault="005A0C80" w:rsidP="005A0C80">
      <w:pPr>
        <w:widowControl w:val="0"/>
        <w:bidi/>
        <w:spacing w:after="0" w:line="257" w:lineRule="auto"/>
        <w:ind w:firstLine="284"/>
        <w:jc w:val="both"/>
        <w:rPr>
          <w:rFonts w:cs="Abz-2 (Badr)"/>
          <w:color w:val="000000" w:themeColor="text1"/>
          <w:sz w:val="28"/>
          <w:szCs w:val="28"/>
          <w:rtl/>
          <w:lang w:bidi="fa-IR"/>
        </w:rPr>
      </w:pPr>
      <w:r>
        <w:rPr>
          <w:rFonts w:cs="Abz-2 (Badr)" w:hint="cs"/>
          <w:color w:val="000000" w:themeColor="text1"/>
          <w:sz w:val="28"/>
          <w:szCs w:val="28"/>
          <w:rtl/>
          <w:lang w:bidi="fa-IR"/>
        </w:rPr>
        <w:t>اما اين اصل ناشی از اين نيست که اگر شک در اين داشته باشيم که فردی فقط اخراج حکمی از تحت يک دليل شده است يا اين که اخراج آن موضوعی بوده و باتلع اخراج حکمی نيز محقق شده است، چون اخراج موضوعی مؤونه زائده نياز دارد، پس اصل بر اخراج حکمی است، زيرا در اخراج حکمی دو عمل صورت نمی</w:t>
      </w:r>
      <w:r>
        <w:rPr>
          <w:rFonts w:cs="Abz-2 (Badr)"/>
          <w:color w:val="000000" w:themeColor="text1"/>
          <w:sz w:val="28"/>
          <w:szCs w:val="28"/>
          <w:rtl/>
          <w:lang w:bidi="fa-IR"/>
        </w:rPr>
        <w:softHyphen/>
      </w:r>
      <w:r>
        <w:rPr>
          <w:rFonts w:cs="Abz-2 (Badr)" w:hint="cs"/>
          <w:color w:val="000000" w:themeColor="text1"/>
          <w:sz w:val="28"/>
          <w:szCs w:val="28"/>
          <w:rtl/>
          <w:lang w:bidi="fa-IR"/>
        </w:rPr>
        <w:t>پذيرد تا نسبت به اخراج حکمی دارای مؤونه زائده باشد، بلکه در آن نيز به مانند اخراج حکمی يک فعل انجام می</w:t>
      </w:r>
      <w:r>
        <w:rPr>
          <w:rFonts w:cs="Abz-2 (Badr)"/>
          <w:color w:val="000000" w:themeColor="text1"/>
          <w:sz w:val="28"/>
          <w:szCs w:val="28"/>
          <w:rtl/>
          <w:lang w:bidi="fa-IR"/>
        </w:rPr>
        <w:softHyphen/>
      </w:r>
      <w:r>
        <w:rPr>
          <w:rFonts w:cs="Abz-2 (Badr)" w:hint="cs"/>
          <w:color w:val="000000" w:themeColor="text1"/>
          <w:sz w:val="28"/>
          <w:szCs w:val="28"/>
          <w:rtl/>
          <w:lang w:bidi="fa-IR"/>
        </w:rPr>
        <w:t>پذيرد و اخراج حکمی که در آن صورت می</w:t>
      </w:r>
      <w:r>
        <w:rPr>
          <w:rFonts w:cs="Abz-2 (Badr)"/>
          <w:color w:val="000000" w:themeColor="text1"/>
          <w:sz w:val="28"/>
          <w:szCs w:val="28"/>
          <w:rtl/>
          <w:lang w:bidi="fa-IR"/>
        </w:rPr>
        <w:softHyphen/>
      </w:r>
      <w:r>
        <w:rPr>
          <w:rFonts w:cs="Abz-2 (Badr)" w:hint="cs"/>
          <w:color w:val="000000" w:themeColor="text1"/>
          <w:sz w:val="28"/>
          <w:szCs w:val="28"/>
          <w:rtl/>
          <w:lang w:bidi="fa-IR"/>
        </w:rPr>
        <w:t>پذيرد، تبعی است.</w:t>
      </w:r>
    </w:p>
    <w:p w14:paraId="7C82B02E" w14:textId="77777777" w:rsidR="005A0C80" w:rsidRDefault="005A0C80" w:rsidP="005A0C80">
      <w:pPr>
        <w:widowControl w:val="0"/>
        <w:bidi/>
        <w:spacing w:after="0" w:line="257" w:lineRule="auto"/>
        <w:ind w:firstLine="284"/>
        <w:jc w:val="both"/>
        <w:rPr>
          <w:rFonts w:cs="Abz-2 (Badr)"/>
          <w:color w:val="000000" w:themeColor="text1"/>
          <w:sz w:val="28"/>
          <w:szCs w:val="28"/>
          <w:rtl/>
          <w:lang w:bidi="fa-IR"/>
        </w:rPr>
      </w:pPr>
      <w:r>
        <w:rPr>
          <w:rFonts w:cs="Abz-2 (Badr)" w:hint="cs"/>
          <w:color w:val="000000" w:themeColor="text1"/>
          <w:sz w:val="28"/>
          <w:szCs w:val="28"/>
          <w:rtl/>
          <w:lang w:bidi="fa-IR"/>
        </w:rPr>
        <w:t>بنابر اين در توجيه مدعای مذکور بايد گفت: از آنجا که دليلی که در حاکم يا مخصص بودن آن شک داريم، قطعاً در صدد بيان حکم يک موضوع هست ـ وگرنه در مخصص بودن آن شکی وجود نداشت ـ و شک در اين است که آيا علاوه بر آن در صدد توضيح موضوع دليلی ديگر نيز می</w:t>
      </w:r>
      <w:r>
        <w:rPr>
          <w:rFonts w:cs="Abz-2 (Badr)"/>
          <w:color w:val="000000" w:themeColor="text1"/>
          <w:sz w:val="28"/>
          <w:szCs w:val="28"/>
          <w:rtl/>
          <w:lang w:bidi="fa-IR"/>
        </w:rPr>
        <w:softHyphen/>
      </w:r>
      <w:r>
        <w:rPr>
          <w:rFonts w:cs="Abz-2 (Badr)" w:hint="cs"/>
          <w:color w:val="000000" w:themeColor="text1"/>
          <w:sz w:val="28"/>
          <w:szCs w:val="28"/>
          <w:rtl/>
          <w:lang w:bidi="fa-IR"/>
        </w:rPr>
        <w:t>باشد يا خير و تفسير موضوع دليل ديگر نيازمند مؤونه زائده است، پس مقتضای اصل مخصص بودن آن است.</w:t>
      </w:r>
    </w:p>
    <w:p w14:paraId="3CADD0B8" w14:textId="77777777" w:rsidR="005A0C80" w:rsidRDefault="005A0C80" w:rsidP="005A0C80">
      <w:pPr>
        <w:widowControl w:val="0"/>
        <w:bidi/>
        <w:spacing w:after="0" w:line="257" w:lineRule="auto"/>
        <w:ind w:firstLine="284"/>
        <w:jc w:val="both"/>
        <w:rPr>
          <w:rFonts w:cs="Abz-2 (Badr)"/>
          <w:color w:val="000000" w:themeColor="text1"/>
          <w:sz w:val="28"/>
          <w:szCs w:val="28"/>
          <w:rtl/>
          <w:lang w:bidi="fa-IR"/>
        </w:rPr>
      </w:pPr>
      <w:r>
        <w:rPr>
          <w:rFonts w:cs="Abz-2 (Badr)" w:hint="cs"/>
          <w:color w:val="000000" w:themeColor="text1"/>
          <w:sz w:val="28"/>
          <w:szCs w:val="28"/>
          <w:rtl/>
          <w:lang w:bidi="fa-IR"/>
        </w:rPr>
        <w:t>همچنين چون نتيجه حکومت اين است که آنچه که در دليل محکوم به عنوان موضوع حکم اخذ شده است، استعمال مجازی داشته باشد و استعمال مجازی خلاف اصل است، پس می</w:t>
      </w:r>
      <w:r>
        <w:rPr>
          <w:rFonts w:cs="Abz-2 (Badr)"/>
          <w:color w:val="000000" w:themeColor="text1"/>
          <w:sz w:val="28"/>
          <w:szCs w:val="28"/>
          <w:rtl/>
          <w:lang w:bidi="fa-IR"/>
        </w:rPr>
        <w:softHyphen/>
      </w:r>
      <w:r>
        <w:rPr>
          <w:rFonts w:cs="Abz-2 (Badr)" w:hint="cs"/>
          <w:color w:val="000000" w:themeColor="text1"/>
          <w:sz w:val="28"/>
          <w:szCs w:val="28"/>
          <w:rtl/>
          <w:lang w:bidi="fa-IR"/>
        </w:rPr>
        <w:t>توان اصل را بر تخصيص نهاد که لازمه آن ـ ولو منفصل باشد ـ استعمال مجازی عام نمی</w:t>
      </w:r>
      <w:r>
        <w:rPr>
          <w:rFonts w:cs="Abz-2 (Badr)"/>
          <w:color w:val="000000" w:themeColor="text1"/>
          <w:sz w:val="28"/>
          <w:szCs w:val="28"/>
          <w:rtl/>
          <w:lang w:bidi="fa-IR"/>
        </w:rPr>
        <w:softHyphen/>
      </w:r>
      <w:r>
        <w:rPr>
          <w:rFonts w:cs="Abz-2 (Badr)" w:hint="cs"/>
          <w:color w:val="000000" w:themeColor="text1"/>
          <w:sz w:val="28"/>
          <w:szCs w:val="28"/>
          <w:rtl/>
          <w:lang w:bidi="fa-IR"/>
        </w:rPr>
        <w:t>باشد.</w:t>
      </w:r>
    </w:p>
    <w:p w14:paraId="732CEDFE" w14:textId="77777777" w:rsidR="005A0C80" w:rsidRDefault="005A0C80" w:rsidP="005A0C80">
      <w:pPr>
        <w:widowControl w:val="0"/>
        <w:bidi/>
        <w:spacing w:after="0" w:line="257" w:lineRule="auto"/>
        <w:ind w:firstLine="284"/>
        <w:jc w:val="both"/>
        <w:rPr>
          <w:rFonts w:cs="Abz-2 (Badr)"/>
          <w:color w:val="000000" w:themeColor="text1"/>
          <w:sz w:val="28"/>
          <w:szCs w:val="28"/>
          <w:rtl/>
          <w:lang w:bidi="fa-IR"/>
        </w:rPr>
      </w:pPr>
      <w:r>
        <w:rPr>
          <w:rFonts w:cs="Abz-2 (Badr)" w:hint="cs"/>
          <w:color w:val="000000" w:themeColor="text1"/>
          <w:sz w:val="28"/>
          <w:szCs w:val="28"/>
          <w:rtl/>
          <w:lang w:bidi="fa-IR"/>
        </w:rPr>
        <w:t>بنابر اين می</w:t>
      </w:r>
      <w:r>
        <w:rPr>
          <w:rFonts w:cs="Abz-2 (Badr)"/>
          <w:color w:val="000000" w:themeColor="text1"/>
          <w:sz w:val="28"/>
          <w:szCs w:val="28"/>
          <w:rtl/>
          <w:lang w:bidi="fa-IR"/>
        </w:rPr>
        <w:softHyphen/>
      </w:r>
      <w:r>
        <w:rPr>
          <w:rFonts w:cs="Abz-2 (Badr)" w:hint="cs"/>
          <w:color w:val="000000" w:themeColor="text1"/>
          <w:sz w:val="28"/>
          <w:szCs w:val="28"/>
          <w:rtl/>
          <w:lang w:bidi="fa-IR"/>
        </w:rPr>
        <w:t>توان در مقام ثبوت، مدعای صاحب جواهر مبنی بر عدم فرق بين شرطيت تمکين و مانعيت نشوز را پذيرفت، زيرا شرطيت تمکين فقط در جايی است که تمکين امکان</w:t>
      </w:r>
      <w:r>
        <w:rPr>
          <w:rFonts w:cs="Abz-2 (Badr)"/>
          <w:color w:val="000000" w:themeColor="text1"/>
          <w:sz w:val="28"/>
          <w:szCs w:val="28"/>
          <w:rtl/>
          <w:lang w:bidi="fa-IR"/>
        </w:rPr>
        <w:softHyphen/>
      </w:r>
      <w:r>
        <w:rPr>
          <w:rFonts w:cs="Abz-2 (Badr)" w:hint="cs"/>
          <w:color w:val="000000" w:themeColor="text1"/>
          <w:sz w:val="28"/>
          <w:szCs w:val="28"/>
          <w:rtl/>
          <w:lang w:bidi="fa-IR"/>
        </w:rPr>
        <w:t xml:space="preserve">پذير باشد و در اين موارد، وجود تمکين ملازم با عدم </w:t>
      </w:r>
      <w:r>
        <w:rPr>
          <w:rFonts w:cs="Abz-2 (Badr)" w:hint="cs"/>
          <w:color w:val="000000" w:themeColor="text1"/>
          <w:sz w:val="28"/>
          <w:szCs w:val="28"/>
          <w:rtl/>
          <w:lang w:bidi="fa-IR"/>
        </w:rPr>
        <w:lastRenderedPageBreak/>
        <w:t>نشوز و وجود نشوز، ملازم با عدم تمکين است.</w:t>
      </w:r>
    </w:p>
    <w:p w14:paraId="1DB33099" w14:textId="77777777" w:rsidR="005A0C80" w:rsidRDefault="005A0C80" w:rsidP="005A0C80">
      <w:pPr>
        <w:widowControl w:val="0"/>
        <w:bidi/>
        <w:spacing w:after="0" w:line="257" w:lineRule="auto"/>
        <w:ind w:firstLine="284"/>
        <w:jc w:val="both"/>
        <w:rPr>
          <w:rFonts w:cs="Abz-2 (Badr)"/>
          <w:color w:val="000000" w:themeColor="text1"/>
          <w:sz w:val="28"/>
          <w:szCs w:val="28"/>
          <w:rtl/>
          <w:lang w:bidi="fa-IR"/>
        </w:rPr>
      </w:pPr>
      <w:r>
        <w:rPr>
          <w:rFonts w:cs="Abz-2 (Badr)" w:hint="cs"/>
          <w:color w:val="000000" w:themeColor="text1"/>
          <w:sz w:val="28"/>
          <w:szCs w:val="28"/>
          <w:rtl/>
          <w:lang w:bidi="fa-IR"/>
        </w:rPr>
        <w:t>اين در حالی است که در مقام اثبات، بين اين که تمکين را شرط بدانيم يا نشوز را مانع به حساب آوريم، فرق وجود خواهد داشت و حق در اين مسأله با شهيد ثانی است، زيرا دليلی مبنی بر شرطيت تمکين برای وجوب نفقه در دست نيست هرچند مشهور اصحاب</w:t>
      </w:r>
      <w:r w:rsidRPr="0038058E">
        <w:rPr>
          <w:rFonts w:cs="Abz-2 (Badr)"/>
          <w:color w:val="000000" w:themeColor="text1"/>
          <w:sz w:val="28"/>
          <w:szCs w:val="28"/>
          <w:vertAlign w:val="superscript"/>
          <w:rtl/>
          <w:lang w:bidi="ar"/>
        </w:rPr>
        <w:footnoteReference w:id="1"/>
      </w:r>
      <w:r>
        <w:rPr>
          <w:rFonts w:cs="Abz-2 (Badr)" w:hint="cs"/>
          <w:color w:val="000000" w:themeColor="text1"/>
          <w:sz w:val="28"/>
          <w:szCs w:val="28"/>
          <w:rtl/>
          <w:lang w:bidi="fa-IR"/>
        </w:rPr>
        <w:t xml:space="preserve"> قائل به آن شده</w:t>
      </w:r>
      <w:r>
        <w:rPr>
          <w:rFonts w:cs="Abz-2 (Badr)"/>
          <w:color w:val="000000" w:themeColor="text1"/>
          <w:sz w:val="28"/>
          <w:szCs w:val="28"/>
          <w:rtl/>
          <w:lang w:bidi="fa-IR"/>
        </w:rPr>
        <w:softHyphen/>
      </w:r>
      <w:r>
        <w:rPr>
          <w:rFonts w:cs="Abz-2 (Badr)" w:hint="cs"/>
          <w:color w:val="000000" w:themeColor="text1"/>
          <w:sz w:val="28"/>
          <w:szCs w:val="28"/>
          <w:rtl/>
          <w:lang w:bidi="fa-IR"/>
        </w:rPr>
        <w:t>اند.</w:t>
      </w:r>
    </w:p>
    <w:p w14:paraId="7E5C12DA" w14:textId="77777777" w:rsidR="005A0C80" w:rsidRPr="00BD79AF" w:rsidRDefault="005A0C80" w:rsidP="005A0C80">
      <w:pPr>
        <w:widowControl w:val="0"/>
        <w:bidi/>
        <w:spacing w:after="0" w:line="257" w:lineRule="auto"/>
        <w:ind w:firstLine="284"/>
        <w:jc w:val="both"/>
        <w:rPr>
          <w:rFonts w:cs="Abz-2 (Badr)"/>
          <w:color w:val="0070C0"/>
          <w:sz w:val="28"/>
          <w:szCs w:val="28"/>
          <w:lang w:bidi="fa-IR"/>
        </w:rPr>
      </w:pPr>
      <w:r>
        <w:rPr>
          <w:rFonts w:cs="Abz-2 (Badr)" w:hint="cs"/>
          <w:color w:val="000000" w:themeColor="text1"/>
          <w:sz w:val="28"/>
          <w:szCs w:val="28"/>
          <w:rtl/>
          <w:lang w:bidi="fa-IR"/>
        </w:rPr>
        <w:t xml:space="preserve">فلذا صاحب حدائق در اين خصوص فرموده است: </w:t>
      </w:r>
      <w:r w:rsidRPr="00BD79AF">
        <w:rPr>
          <w:rFonts w:cs="Abz-2 (Badr)" w:hint="cs"/>
          <w:color w:val="0070C0"/>
          <w:sz w:val="28"/>
          <w:szCs w:val="28"/>
          <w:rtl/>
          <w:lang w:bidi="fa-IR"/>
        </w:rPr>
        <w:t>«</w:t>
      </w:r>
      <w:r w:rsidRPr="00BD79AF">
        <w:rPr>
          <w:rFonts w:cs="Abz-2 (Badr)"/>
          <w:color w:val="0070C0"/>
          <w:sz w:val="28"/>
          <w:szCs w:val="28"/>
          <w:rtl/>
          <w:lang w:bidi="ar"/>
        </w:rPr>
        <w:t>إن</w:t>
      </w:r>
      <w:r w:rsidRPr="00BD79AF">
        <w:rPr>
          <w:rFonts w:cs="Abz-2 (Badr)" w:hint="cs"/>
          <w:color w:val="0070C0"/>
          <w:sz w:val="28"/>
          <w:szCs w:val="28"/>
          <w:rtl/>
          <w:lang w:bidi="ar"/>
        </w:rPr>
        <w:t>ّ</w:t>
      </w:r>
      <w:r w:rsidRPr="00BD79AF">
        <w:rPr>
          <w:rFonts w:cs="Abz-2 (Badr)"/>
          <w:color w:val="0070C0"/>
          <w:sz w:val="28"/>
          <w:szCs w:val="28"/>
          <w:rtl/>
          <w:lang w:bidi="ar"/>
        </w:rPr>
        <w:t xml:space="preserve"> الأخبار التي أشرنا إليها</w:t>
      </w:r>
      <w:r w:rsidRPr="00BD79AF">
        <w:rPr>
          <w:rFonts w:cs="Abz-2 (Badr)" w:hint="cs"/>
          <w:color w:val="0070C0"/>
          <w:sz w:val="28"/>
          <w:szCs w:val="28"/>
          <w:rtl/>
          <w:lang w:bidi="ar"/>
        </w:rPr>
        <w:t>،</w:t>
      </w:r>
      <w:r w:rsidRPr="00BD79AF">
        <w:rPr>
          <w:rFonts w:cs="Abz-2 (Badr)"/>
          <w:color w:val="0070C0"/>
          <w:sz w:val="28"/>
          <w:szCs w:val="28"/>
          <w:rtl/>
          <w:lang w:bidi="ar"/>
        </w:rPr>
        <w:t xml:space="preserve"> أظهر ظاهر في ترت</w:t>
      </w:r>
      <w:r w:rsidRPr="00BD79AF">
        <w:rPr>
          <w:rFonts w:cs="Abz-2 (Badr)" w:hint="cs"/>
          <w:color w:val="0070C0"/>
          <w:sz w:val="28"/>
          <w:szCs w:val="28"/>
          <w:rtl/>
          <w:lang w:bidi="ar"/>
        </w:rPr>
        <w:t>ّ</w:t>
      </w:r>
      <w:r w:rsidRPr="00BD79AF">
        <w:rPr>
          <w:rFonts w:cs="Abz-2 (Badr)"/>
          <w:color w:val="0070C0"/>
          <w:sz w:val="28"/>
          <w:szCs w:val="28"/>
          <w:rtl/>
          <w:lang w:bidi="ar"/>
        </w:rPr>
        <w:t>ب النفقة على مجر</w:t>
      </w:r>
      <w:r w:rsidRPr="00BD79AF">
        <w:rPr>
          <w:rFonts w:cs="Abz-2 (Badr)" w:hint="cs"/>
          <w:color w:val="0070C0"/>
          <w:sz w:val="28"/>
          <w:szCs w:val="28"/>
          <w:rtl/>
          <w:lang w:bidi="ar"/>
        </w:rPr>
        <w:t>ّ</w:t>
      </w:r>
      <w:r w:rsidRPr="00BD79AF">
        <w:rPr>
          <w:rFonts w:cs="Abz-2 (Badr)"/>
          <w:color w:val="0070C0"/>
          <w:sz w:val="28"/>
          <w:szCs w:val="28"/>
          <w:rtl/>
          <w:lang w:bidi="ar"/>
        </w:rPr>
        <w:t>د العقد</w:t>
      </w:r>
      <w:r w:rsidRPr="00BD79AF">
        <w:rPr>
          <w:rFonts w:cs="Abz-2 (Badr)" w:hint="cs"/>
          <w:color w:val="0070C0"/>
          <w:sz w:val="28"/>
          <w:szCs w:val="28"/>
          <w:rtl/>
          <w:lang w:bidi="ar"/>
        </w:rPr>
        <w:t>،</w:t>
      </w:r>
      <w:r w:rsidRPr="00BD79AF">
        <w:rPr>
          <w:rFonts w:cs="Abz-2 (Badr)"/>
          <w:color w:val="0070C0"/>
          <w:sz w:val="28"/>
          <w:szCs w:val="28"/>
          <w:rtl/>
          <w:lang w:bidi="ar"/>
        </w:rPr>
        <w:t xml:space="preserve"> فإن</w:t>
      </w:r>
      <w:r w:rsidRPr="00BD79AF">
        <w:rPr>
          <w:rFonts w:cs="Abz-2 (Badr)" w:hint="cs"/>
          <w:color w:val="0070C0"/>
          <w:sz w:val="28"/>
          <w:szCs w:val="28"/>
          <w:rtl/>
          <w:lang w:bidi="ar"/>
        </w:rPr>
        <w:t>ّ</w:t>
      </w:r>
      <w:r w:rsidRPr="00BD79AF">
        <w:rPr>
          <w:rFonts w:cs="Abz-2 (Badr)"/>
          <w:color w:val="0070C0"/>
          <w:sz w:val="28"/>
          <w:szCs w:val="28"/>
          <w:rtl/>
          <w:lang w:bidi="ar"/>
        </w:rPr>
        <w:t xml:space="preserve"> ما اشتمل عليه جملة منها مم</w:t>
      </w:r>
      <w:r w:rsidRPr="00BD79AF">
        <w:rPr>
          <w:rFonts w:cs="Abz-2 (Badr)" w:hint="cs"/>
          <w:color w:val="0070C0"/>
          <w:sz w:val="28"/>
          <w:szCs w:val="28"/>
          <w:rtl/>
          <w:lang w:bidi="ar"/>
        </w:rPr>
        <w:t>ّ</w:t>
      </w:r>
      <w:r w:rsidRPr="00BD79AF">
        <w:rPr>
          <w:rFonts w:cs="Abz-2 (Badr)"/>
          <w:color w:val="0070C0"/>
          <w:sz w:val="28"/>
          <w:szCs w:val="28"/>
          <w:rtl/>
          <w:lang w:bidi="ar"/>
        </w:rPr>
        <w:t>ا ذكرناه وما لم نذكره من قوله</w:t>
      </w:r>
      <w:r w:rsidRPr="00BD79AF">
        <w:rPr>
          <w:rFonts w:cs="Abz-2 (Badr)" w:hint="cs"/>
          <w:color w:val="0070C0"/>
          <w:sz w:val="28"/>
          <w:szCs w:val="28"/>
          <w:rtl/>
          <w:lang w:bidi="ar"/>
        </w:rPr>
        <w:t xml:space="preserve">(ع): </w:t>
      </w:r>
      <w:r w:rsidRPr="00BD79AF">
        <w:rPr>
          <w:rFonts w:cs="Abz-2 (Badr)"/>
          <w:color w:val="0070C0"/>
          <w:sz w:val="28"/>
          <w:szCs w:val="28"/>
          <w:rtl/>
          <w:lang w:bidi="ar"/>
        </w:rPr>
        <w:t>«حق</w:t>
      </w:r>
      <w:r w:rsidRPr="00BD79AF">
        <w:rPr>
          <w:rFonts w:cs="Abz-2 (Badr)" w:hint="cs"/>
          <w:color w:val="0070C0"/>
          <w:sz w:val="28"/>
          <w:szCs w:val="28"/>
          <w:rtl/>
          <w:lang w:bidi="ar"/>
        </w:rPr>
        <w:t>ّ</w:t>
      </w:r>
      <w:r w:rsidRPr="00BD79AF">
        <w:rPr>
          <w:rFonts w:cs="Abz-2 (Badr)"/>
          <w:color w:val="0070C0"/>
          <w:sz w:val="28"/>
          <w:szCs w:val="28"/>
          <w:rtl/>
          <w:lang w:bidi="ar"/>
        </w:rPr>
        <w:t xml:space="preserve"> المرأة على زوجها»</w:t>
      </w:r>
      <w:r w:rsidRPr="00BD79AF">
        <w:rPr>
          <w:rFonts w:cs="Abz-2 (Badr)" w:hint="cs"/>
          <w:color w:val="0070C0"/>
          <w:sz w:val="28"/>
          <w:szCs w:val="28"/>
          <w:rtl/>
          <w:lang w:bidi="ar"/>
        </w:rPr>
        <w:t>...</w:t>
      </w:r>
      <w:r w:rsidRPr="00BD79AF">
        <w:rPr>
          <w:rFonts w:cs="Abz-2 (Badr)"/>
          <w:color w:val="0070C0"/>
          <w:sz w:val="28"/>
          <w:szCs w:val="28"/>
          <w:rtl/>
          <w:lang w:bidi="ar"/>
        </w:rPr>
        <w:t xml:space="preserve"> أظهر ظاهر فيما ذكرناه</w:t>
      </w:r>
      <w:r w:rsidRPr="00BD79AF">
        <w:rPr>
          <w:rFonts w:cs="Abz-2 (Badr)" w:hint="cs"/>
          <w:color w:val="0070C0"/>
          <w:sz w:val="28"/>
          <w:szCs w:val="28"/>
          <w:rtl/>
          <w:lang w:bidi="ar"/>
        </w:rPr>
        <w:t>،</w:t>
      </w:r>
      <w:r w:rsidRPr="00BD79AF">
        <w:rPr>
          <w:rFonts w:cs="Abz-2 (Badr)"/>
          <w:color w:val="0070C0"/>
          <w:sz w:val="28"/>
          <w:szCs w:val="28"/>
          <w:rtl/>
          <w:lang w:bidi="ar"/>
        </w:rPr>
        <w:t xml:space="preserve"> فإن</w:t>
      </w:r>
      <w:r w:rsidRPr="00BD79AF">
        <w:rPr>
          <w:rFonts w:cs="Abz-2 (Badr)" w:hint="cs"/>
          <w:color w:val="0070C0"/>
          <w:sz w:val="28"/>
          <w:szCs w:val="28"/>
          <w:rtl/>
          <w:lang w:bidi="ar"/>
        </w:rPr>
        <w:t>ّ</w:t>
      </w:r>
      <w:r w:rsidRPr="00BD79AF">
        <w:rPr>
          <w:rFonts w:cs="Abz-2 (Badr)"/>
          <w:color w:val="0070C0"/>
          <w:sz w:val="28"/>
          <w:szCs w:val="28"/>
          <w:rtl/>
          <w:lang w:bidi="ar"/>
        </w:rPr>
        <w:t>ه بمجر</w:t>
      </w:r>
      <w:r w:rsidRPr="00BD79AF">
        <w:rPr>
          <w:rFonts w:cs="Abz-2 (Badr)" w:hint="cs"/>
          <w:color w:val="0070C0"/>
          <w:sz w:val="28"/>
          <w:szCs w:val="28"/>
          <w:rtl/>
          <w:lang w:bidi="ar"/>
        </w:rPr>
        <w:t>ّ</w:t>
      </w:r>
      <w:r w:rsidRPr="00BD79AF">
        <w:rPr>
          <w:rFonts w:cs="Abz-2 (Badr)"/>
          <w:color w:val="0070C0"/>
          <w:sz w:val="28"/>
          <w:szCs w:val="28"/>
          <w:rtl/>
          <w:lang w:bidi="ar"/>
        </w:rPr>
        <w:t>د العقد يصدق أن</w:t>
      </w:r>
      <w:r w:rsidRPr="00BD79AF">
        <w:rPr>
          <w:rFonts w:cs="Abz-2 (Badr)" w:hint="cs"/>
          <w:color w:val="0070C0"/>
          <w:sz w:val="28"/>
          <w:szCs w:val="28"/>
          <w:rtl/>
          <w:lang w:bidi="ar"/>
        </w:rPr>
        <w:t>ّ</w:t>
      </w:r>
      <w:r w:rsidRPr="00BD79AF">
        <w:rPr>
          <w:rFonts w:cs="Abz-2 (Badr)"/>
          <w:color w:val="0070C0"/>
          <w:sz w:val="28"/>
          <w:szCs w:val="28"/>
          <w:rtl/>
          <w:lang w:bidi="ar"/>
        </w:rPr>
        <w:t>ه عنده امرأة</w:t>
      </w:r>
      <w:r w:rsidRPr="00BD79AF">
        <w:rPr>
          <w:rFonts w:cs="Abz-2 (Badr)" w:hint="cs"/>
          <w:color w:val="0070C0"/>
          <w:sz w:val="28"/>
          <w:szCs w:val="28"/>
          <w:rtl/>
          <w:lang w:bidi="ar"/>
        </w:rPr>
        <w:t>.</w:t>
      </w:r>
    </w:p>
    <w:p w14:paraId="2D4C3B05" w14:textId="77777777" w:rsidR="005A0C80" w:rsidRDefault="005A0C80" w:rsidP="005A0C80">
      <w:pPr>
        <w:widowControl w:val="0"/>
        <w:bidi/>
        <w:spacing w:after="0"/>
        <w:ind w:firstLine="284"/>
        <w:jc w:val="both"/>
        <w:rPr>
          <w:rFonts w:cs="Abz-2 (Badr)"/>
          <w:color w:val="0070C0"/>
          <w:sz w:val="28"/>
          <w:szCs w:val="28"/>
          <w:rtl/>
          <w:lang w:bidi="ar"/>
        </w:rPr>
      </w:pPr>
      <w:r w:rsidRPr="00BD79AF">
        <w:rPr>
          <w:rFonts w:cs="Abz-2 (Badr)"/>
          <w:color w:val="0070C0"/>
          <w:sz w:val="28"/>
          <w:szCs w:val="28"/>
          <w:rtl/>
          <w:lang w:bidi="ar"/>
        </w:rPr>
        <w:t>و بالجملة فدلالة الأخبار على ما ذكرناه أظهر ظاهر كما عرفت</w:t>
      </w:r>
      <w:r w:rsidRPr="00BD79AF">
        <w:rPr>
          <w:rFonts w:cs="Abz-2 (Badr)" w:hint="cs"/>
          <w:color w:val="0070C0"/>
          <w:sz w:val="28"/>
          <w:szCs w:val="28"/>
          <w:rtl/>
          <w:lang w:bidi="ar"/>
        </w:rPr>
        <w:t>.»</w:t>
      </w:r>
      <w:r w:rsidRPr="0038058E">
        <w:rPr>
          <w:rFonts w:cs="Abz-2 (Badr)"/>
          <w:color w:val="000000" w:themeColor="text1"/>
          <w:sz w:val="28"/>
          <w:szCs w:val="28"/>
          <w:vertAlign w:val="superscript"/>
          <w:rtl/>
          <w:lang w:bidi="ar"/>
        </w:rPr>
        <w:footnoteReference w:id="2"/>
      </w:r>
      <w:bookmarkEnd w:id="1"/>
    </w:p>
    <w:p w14:paraId="6080F22D" w14:textId="77777777" w:rsidR="005A0C80" w:rsidRDefault="005A0C80" w:rsidP="005A0C80">
      <w:pPr>
        <w:widowControl w:val="0"/>
        <w:bidi/>
        <w:spacing w:after="0"/>
        <w:ind w:firstLine="284"/>
        <w:jc w:val="both"/>
        <w:rPr>
          <w:rFonts w:cs="Abz-2 (Badr)"/>
          <w:color w:val="000000" w:themeColor="text1"/>
          <w:sz w:val="28"/>
          <w:szCs w:val="28"/>
          <w:rtl/>
          <w:lang w:bidi="ar"/>
        </w:rPr>
      </w:pPr>
      <w:bookmarkStart w:id="4" w:name="_Hlk210645627"/>
      <w:bookmarkEnd w:id="3"/>
      <w:r>
        <w:rPr>
          <w:rFonts w:cs="Abz-2 (Badr)" w:hint="cs"/>
          <w:color w:val="000000" w:themeColor="text1"/>
          <w:sz w:val="28"/>
          <w:szCs w:val="28"/>
          <w:rtl/>
          <w:lang w:bidi="ar"/>
        </w:rPr>
        <w:t>اما تمسّک به اجماع برای اثبات شرطيت تمکين برای وجوب نفقه نيز صحيح نيست، زيرا اولاً چنين اجماعی محقق نيست و بر فرض تحقّق نيز کاشف از قول معصوم(ع) نيست، زيرا احتمال استناد آن به آنچه که سابقاً به عنوان دليل برای شرطيت تمکين گذشت، زياد است.</w:t>
      </w:r>
      <w:bookmarkEnd w:id="4"/>
    </w:p>
    <w:p w14:paraId="4DD78D80" w14:textId="77777777" w:rsidR="005A0C80" w:rsidRDefault="005A0C80" w:rsidP="005A0C80">
      <w:pPr>
        <w:rPr>
          <w:rFonts w:cs="Abz-2 (Badr)"/>
          <w:color w:val="000000" w:themeColor="text1"/>
          <w:sz w:val="28"/>
          <w:szCs w:val="28"/>
          <w:rtl/>
          <w:lang w:bidi="ar"/>
        </w:rPr>
      </w:pPr>
      <w:r>
        <w:rPr>
          <w:rFonts w:cs="Abz-2 (Badr)"/>
          <w:color w:val="000000" w:themeColor="text1"/>
          <w:sz w:val="28"/>
          <w:szCs w:val="28"/>
          <w:rtl/>
          <w:lang w:bidi="ar"/>
        </w:rPr>
        <w:br w:type="page"/>
      </w:r>
    </w:p>
    <w:p w14:paraId="615C4994" w14:textId="77777777" w:rsidR="005A0C80" w:rsidRPr="00A23540" w:rsidRDefault="005A0C80" w:rsidP="005A0C80">
      <w:pPr>
        <w:widowControl w:val="0"/>
        <w:bidi/>
        <w:spacing w:after="0"/>
        <w:ind w:firstLine="284"/>
        <w:jc w:val="both"/>
        <w:rPr>
          <w:rFonts w:cs="Abz-2 (Badr)"/>
          <w:color w:val="000000" w:themeColor="text1"/>
          <w:sz w:val="28"/>
          <w:szCs w:val="28"/>
          <w:lang w:bidi="fa-IR"/>
        </w:rPr>
      </w:pPr>
      <w:bookmarkStart w:id="5" w:name="_Hlk210725927"/>
      <w:r w:rsidRPr="00A23540">
        <w:rPr>
          <w:rFonts w:cs="Abz-2 (Badr)"/>
          <w:color w:val="000000" w:themeColor="text1"/>
          <w:sz w:val="28"/>
          <w:szCs w:val="28"/>
          <w:rtl/>
        </w:rPr>
        <w:lastRenderedPageBreak/>
        <w:t>قلنا: إنّه في موارد الشكّ في أنّ دليلاً ما هل أوجب إخراج فرد من تحت دليل آخر</w:t>
      </w:r>
      <w:r>
        <w:rPr>
          <w:rFonts w:cs="Abz-2 (Badr)" w:hint="cs"/>
          <w:color w:val="000000" w:themeColor="text1"/>
          <w:sz w:val="28"/>
          <w:szCs w:val="28"/>
          <w:rtl/>
        </w:rPr>
        <w:t xml:space="preserve"> حکماً</w:t>
      </w:r>
      <w:r w:rsidRPr="00A23540">
        <w:rPr>
          <w:rFonts w:cs="Abz-2 (Badr)"/>
          <w:color w:val="000000" w:themeColor="text1"/>
          <w:sz w:val="28"/>
          <w:szCs w:val="28"/>
          <w:rtl/>
        </w:rPr>
        <w:t>، أو أنّه أخرجه موضوعاً من تحته، فمقتضى الأصل هو الحمل على التخصيص</w:t>
      </w:r>
      <w:r>
        <w:rPr>
          <w:rFonts w:cs="Abz-2 (Badr)" w:hint="cs"/>
          <w:color w:val="000000" w:themeColor="text1"/>
          <w:sz w:val="28"/>
          <w:szCs w:val="28"/>
          <w:rtl/>
          <w:lang w:bidi="fa-IR"/>
        </w:rPr>
        <w:t>.</w:t>
      </w:r>
    </w:p>
    <w:p w14:paraId="2C7FAA0E" w14:textId="77777777" w:rsidR="005A0C80" w:rsidRPr="00A23540" w:rsidRDefault="005A0C80" w:rsidP="005A0C80">
      <w:pPr>
        <w:widowControl w:val="0"/>
        <w:bidi/>
        <w:spacing w:after="0"/>
        <w:ind w:firstLine="284"/>
        <w:jc w:val="both"/>
        <w:rPr>
          <w:rFonts w:cs="Abz-2 (Badr)"/>
          <w:color w:val="000000" w:themeColor="text1"/>
          <w:sz w:val="28"/>
          <w:szCs w:val="28"/>
        </w:rPr>
      </w:pPr>
      <w:r w:rsidRPr="00A23540">
        <w:rPr>
          <w:rFonts w:cs="Abz-2 (Badr)"/>
          <w:color w:val="000000" w:themeColor="text1"/>
          <w:sz w:val="28"/>
          <w:szCs w:val="28"/>
          <w:rtl/>
        </w:rPr>
        <w:t xml:space="preserve">لكن هذا الأصل ليس ناشئاً من أنّه إذا شككنا في أنّ الفرد قد أُخرج إخراجاً حكميّاً فقط أو أنّ إخراجه كان موضوعيّاً </w:t>
      </w:r>
      <w:r>
        <w:rPr>
          <w:rFonts w:cs="Abz-2 (Badr)" w:hint="cs"/>
          <w:color w:val="000000" w:themeColor="text1"/>
          <w:sz w:val="28"/>
          <w:szCs w:val="28"/>
          <w:rtl/>
        </w:rPr>
        <w:t xml:space="preserve">الذي </w:t>
      </w:r>
      <w:r w:rsidRPr="00A23540">
        <w:rPr>
          <w:rFonts w:cs="Abz-2 (Badr)"/>
          <w:color w:val="000000" w:themeColor="text1"/>
          <w:sz w:val="28"/>
          <w:szCs w:val="28"/>
          <w:rtl/>
        </w:rPr>
        <w:t xml:space="preserve">يستلزم معه الإخراج الحكمي أيضاً، نقول: إنّ الإخراج الموضوعي يحتاج إلى مؤونة زائدة </w:t>
      </w:r>
      <w:r>
        <w:rPr>
          <w:rFonts w:cs="Abz-2 (Badr)" w:hint="cs"/>
          <w:color w:val="000000" w:themeColor="text1"/>
          <w:sz w:val="28"/>
          <w:szCs w:val="28"/>
          <w:rtl/>
        </w:rPr>
        <w:t>و</w:t>
      </w:r>
      <w:r w:rsidRPr="00A23540">
        <w:rPr>
          <w:rFonts w:cs="Abz-2 (Badr)"/>
          <w:color w:val="000000" w:themeColor="text1"/>
          <w:sz w:val="28"/>
          <w:szCs w:val="28"/>
          <w:rtl/>
        </w:rPr>
        <w:t>الأصل هو الإخراج الحكمي؛ إذ الإخراج الموضوعي ليس فيه فعلان حت</w:t>
      </w:r>
      <w:r>
        <w:rPr>
          <w:rFonts w:cs="Abz-2 (Badr)" w:hint="cs"/>
          <w:color w:val="000000" w:themeColor="text1"/>
          <w:sz w:val="28"/>
          <w:szCs w:val="28"/>
          <w:rtl/>
        </w:rPr>
        <w:t>ّ</w:t>
      </w:r>
      <w:r w:rsidRPr="00A23540">
        <w:rPr>
          <w:rFonts w:cs="Abz-2 (Badr)"/>
          <w:color w:val="000000" w:themeColor="text1"/>
          <w:sz w:val="28"/>
          <w:szCs w:val="28"/>
          <w:rtl/>
        </w:rPr>
        <w:t>ى يقال</w:t>
      </w:r>
      <w:r>
        <w:rPr>
          <w:rFonts w:cs="Abz-2 (Badr)" w:hint="cs"/>
          <w:color w:val="000000" w:themeColor="text1"/>
          <w:sz w:val="28"/>
          <w:szCs w:val="28"/>
          <w:rtl/>
        </w:rPr>
        <w:t>:</w:t>
      </w:r>
      <w:r w:rsidRPr="00A23540">
        <w:rPr>
          <w:rFonts w:cs="Abz-2 (Badr)"/>
          <w:color w:val="000000" w:themeColor="text1"/>
          <w:sz w:val="28"/>
          <w:szCs w:val="28"/>
          <w:rtl/>
        </w:rPr>
        <w:t xml:space="preserve"> إنّه زائد مؤونة، بل هو ـ كسائر الموارد ـ فعل واحد، والإخراج الحكمي فيه تبعيّ</w:t>
      </w:r>
      <w:r>
        <w:rPr>
          <w:rFonts w:cs="Abz-2 (Badr)" w:hint="cs"/>
          <w:color w:val="000000" w:themeColor="text1"/>
          <w:sz w:val="28"/>
          <w:szCs w:val="28"/>
          <w:rtl/>
        </w:rPr>
        <w:t>.</w:t>
      </w:r>
    </w:p>
    <w:p w14:paraId="38AB9528" w14:textId="77777777" w:rsidR="005A0C80" w:rsidRPr="00A23540" w:rsidRDefault="005A0C80" w:rsidP="005A0C80">
      <w:pPr>
        <w:widowControl w:val="0"/>
        <w:bidi/>
        <w:spacing w:after="0"/>
        <w:ind w:firstLine="284"/>
        <w:jc w:val="both"/>
        <w:rPr>
          <w:rFonts w:cs="Abz-2 (Badr)"/>
          <w:color w:val="000000" w:themeColor="text1"/>
          <w:sz w:val="28"/>
          <w:szCs w:val="28"/>
          <w:lang w:bidi="fa-IR"/>
        </w:rPr>
      </w:pPr>
      <w:r w:rsidRPr="00A23540">
        <w:rPr>
          <w:rFonts w:cs="Abz-2 (Badr)"/>
          <w:color w:val="000000" w:themeColor="text1"/>
          <w:sz w:val="28"/>
          <w:szCs w:val="28"/>
          <w:rtl/>
        </w:rPr>
        <w:t xml:space="preserve">وعليه </w:t>
      </w:r>
      <w:r>
        <w:rPr>
          <w:rFonts w:cs="Abz-2 (Badr)" w:hint="cs"/>
          <w:color w:val="000000" w:themeColor="text1"/>
          <w:sz w:val="28"/>
          <w:szCs w:val="28"/>
          <w:rtl/>
        </w:rPr>
        <w:t>ف</w:t>
      </w:r>
      <w:r w:rsidRPr="00A23540">
        <w:rPr>
          <w:rFonts w:cs="Abz-2 (Badr)"/>
          <w:color w:val="000000" w:themeColor="text1"/>
          <w:sz w:val="28"/>
          <w:szCs w:val="28"/>
          <w:rtl/>
        </w:rPr>
        <w:t>ينبغي أن يقال في توجيه هذا المدّعى: إنّ الدليل الذي نشكّ في كونه حاكماً أو مخصّصاً هو في مقام بيان حكم موضوع ما قطعاً ، وإلّا لما وقع الشكّ في كونه مخصّصاً. وإنّما الشكّ في أنّه مضافاً إلى ذلك هل هو في مقام تفسير موضوع دليل آخر أو لا؟ وحيث إنّ تفسير موضوع دليل آخر يحتاج إلى مؤونة زائدة، فالأصل يقتضي كونه مخصّصاً</w:t>
      </w:r>
      <w:r>
        <w:rPr>
          <w:rFonts w:cs="Abz-2 (Badr)" w:hint="cs"/>
          <w:color w:val="000000" w:themeColor="text1"/>
          <w:sz w:val="28"/>
          <w:szCs w:val="28"/>
          <w:rtl/>
        </w:rPr>
        <w:t>.</w:t>
      </w:r>
    </w:p>
    <w:p w14:paraId="2985F09B" w14:textId="77777777" w:rsidR="005A0C80" w:rsidRDefault="005A0C80" w:rsidP="005A0C80">
      <w:pPr>
        <w:widowControl w:val="0"/>
        <w:bidi/>
        <w:spacing w:after="0"/>
        <w:ind w:firstLine="284"/>
        <w:jc w:val="both"/>
        <w:rPr>
          <w:rFonts w:cs="Abz-2 (Badr)"/>
          <w:color w:val="000000" w:themeColor="text1"/>
          <w:sz w:val="28"/>
          <w:szCs w:val="28"/>
          <w:rtl/>
        </w:rPr>
      </w:pPr>
      <w:r w:rsidRPr="00A23540">
        <w:rPr>
          <w:rFonts w:cs="Abz-2 (Badr)"/>
          <w:color w:val="000000" w:themeColor="text1"/>
          <w:sz w:val="28"/>
          <w:szCs w:val="28"/>
          <w:rtl/>
        </w:rPr>
        <w:t>كما أنّ نتيجة الحكومة تؤول إلى أنّ ما أُخذ في دليل المحكوم بعنوان الموضوع يكون مستعملاً استعمالاً مجازيّاً، والاستعمال المجازي خلاف الأصل؛ بينما التخصيص ـ ولو كان منفصلاً ـ لا يستلزم الاستعمال المجازي في العام. ومن هنا كان مقتضى الأصل هو البناء على التخصيص</w:t>
      </w:r>
      <w:r>
        <w:rPr>
          <w:rFonts w:cs="Abz-2 (Badr)" w:hint="cs"/>
          <w:color w:val="000000" w:themeColor="text1"/>
          <w:sz w:val="28"/>
          <w:szCs w:val="28"/>
          <w:rtl/>
        </w:rPr>
        <w:t>.</w:t>
      </w:r>
    </w:p>
    <w:p w14:paraId="126C3251" w14:textId="77777777" w:rsidR="005A0C80" w:rsidRPr="00A23540" w:rsidRDefault="005A0C80" w:rsidP="005A0C80">
      <w:pPr>
        <w:widowControl w:val="0"/>
        <w:bidi/>
        <w:spacing w:after="0"/>
        <w:ind w:firstLine="284"/>
        <w:jc w:val="both"/>
        <w:rPr>
          <w:rFonts w:cs="Abz-2 (Badr)"/>
          <w:color w:val="000000" w:themeColor="text1"/>
          <w:sz w:val="28"/>
          <w:szCs w:val="28"/>
          <w:lang w:bidi="fa-IR"/>
        </w:rPr>
      </w:pPr>
      <w:r w:rsidRPr="00A23540">
        <w:rPr>
          <w:rFonts w:cs="Abz-2 (Badr)"/>
          <w:color w:val="000000" w:themeColor="text1"/>
          <w:sz w:val="28"/>
          <w:szCs w:val="28"/>
          <w:rtl/>
        </w:rPr>
        <w:t>وعليه يمكن في مقام الثبوت قبول ما ذهب إليه صاحب الجواهر</w:t>
      </w:r>
      <w:r>
        <w:rPr>
          <w:rFonts w:cs="Abz-2 (Badr)" w:hint="cs"/>
          <w:color w:val="000000" w:themeColor="text1"/>
          <w:sz w:val="28"/>
          <w:szCs w:val="28"/>
          <w:rtl/>
        </w:rPr>
        <w:t xml:space="preserve"> </w:t>
      </w:r>
      <w:r w:rsidRPr="00A23540">
        <w:rPr>
          <w:rFonts w:cs="Abz-2 (Badr)"/>
          <w:color w:val="000000" w:themeColor="text1"/>
          <w:sz w:val="28"/>
          <w:szCs w:val="28"/>
          <w:rtl/>
        </w:rPr>
        <w:t>من عدم الفرق بين شرطيّة التمكين ومانعيّة النشوز؛ لأنّ شرطيّة التمكين إنّما هي في مورد يكون فيه التمكين ممكناً، وفي هذه الموارد يكون وجود التمكين ملازماً لعدم النشوز، كما أنّ عدم التمكين</w:t>
      </w:r>
      <w:r>
        <w:rPr>
          <w:rFonts w:cs="Abz-2 (Badr)" w:hint="cs"/>
          <w:color w:val="000000" w:themeColor="text1"/>
          <w:sz w:val="28"/>
          <w:szCs w:val="28"/>
          <w:rtl/>
        </w:rPr>
        <w:t xml:space="preserve"> ملازم ل</w:t>
      </w:r>
      <w:r w:rsidRPr="00A23540">
        <w:rPr>
          <w:rFonts w:cs="Abz-2 (Badr)"/>
          <w:color w:val="000000" w:themeColor="text1"/>
          <w:sz w:val="28"/>
          <w:szCs w:val="28"/>
          <w:rtl/>
        </w:rPr>
        <w:t>وجود النشوز</w:t>
      </w:r>
      <w:r>
        <w:rPr>
          <w:rFonts w:cs="Abz-2 (Badr)" w:hint="cs"/>
          <w:color w:val="000000" w:themeColor="text1"/>
          <w:sz w:val="28"/>
          <w:szCs w:val="28"/>
          <w:rtl/>
        </w:rPr>
        <w:t>.</w:t>
      </w:r>
    </w:p>
    <w:p w14:paraId="5BD31641" w14:textId="77777777" w:rsidR="005A0C80" w:rsidRDefault="005A0C80" w:rsidP="005A0C80">
      <w:pPr>
        <w:widowControl w:val="0"/>
        <w:bidi/>
        <w:spacing w:after="0"/>
        <w:ind w:firstLine="284"/>
        <w:jc w:val="both"/>
        <w:rPr>
          <w:rFonts w:cs="Abz-2 (Badr)"/>
          <w:color w:val="000000" w:themeColor="text1"/>
          <w:sz w:val="28"/>
          <w:szCs w:val="28"/>
          <w:rtl/>
        </w:rPr>
      </w:pPr>
      <w:r w:rsidRPr="00A23540">
        <w:rPr>
          <w:rFonts w:cs="Abz-2 (Badr)"/>
          <w:color w:val="000000" w:themeColor="text1"/>
          <w:sz w:val="28"/>
          <w:szCs w:val="28"/>
          <w:rtl/>
        </w:rPr>
        <w:t>إلّا أنّه في مقام الإثبات يظهر الفرق بين القولين؛ أي بين أن يجعل التمكين شرطاً أو يجعل النشوز مانعاً، والحقّ في ذلك مع الشهيد الثاني، إذ لا دليل بأيدينا على شرطيّة التمكين لوجوب النفقة، وإن كان المشهور</w:t>
      </w:r>
      <w:r w:rsidRPr="0038058E">
        <w:rPr>
          <w:rFonts w:cs="Abz-2 (Badr)"/>
          <w:color w:val="000000" w:themeColor="text1"/>
          <w:sz w:val="28"/>
          <w:szCs w:val="28"/>
          <w:vertAlign w:val="superscript"/>
          <w:rtl/>
          <w:lang w:bidi="ar"/>
        </w:rPr>
        <w:footnoteReference w:id="3"/>
      </w:r>
      <w:r w:rsidRPr="00A23540">
        <w:rPr>
          <w:rFonts w:cs="Abz-2 (Badr)"/>
          <w:color w:val="000000" w:themeColor="text1"/>
          <w:sz w:val="28"/>
          <w:szCs w:val="28"/>
          <w:rtl/>
        </w:rPr>
        <w:t xml:space="preserve"> من الأصحاب قد ذهبوا إلى ذلك</w:t>
      </w:r>
      <w:r>
        <w:rPr>
          <w:rFonts w:cs="Abz-2 (Badr)" w:hint="cs"/>
          <w:color w:val="000000" w:themeColor="text1"/>
          <w:sz w:val="28"/>
          <w:szCs w:val="28"/>
          <w:rtl/>
        </w:rPr>
        <w:t>.</w:t>
      </w:r>
    </w:p>
    <w:p w14:paraId="4C09AABB" w14:textId="77777777" w:rsidR="005A0C80" w:rsidRPr="00BD79AF" w:rsidRDefault="005A0C80" w:rsidP="005A0C80">
      <w:pPr>
        <w:widowControl w:val="0"/>
        <w:bidi/>
        <w:spacing w:after="0" w:line="257" w:lineRule="auto"/>
        <w:ind w:firstLine="284"/>
        <w:jc w:val="both"/>
        <w:rPr>
          <w:rFonts w:cs="Abz-2 (Badr)"/>
          <w:color w:val="0070C0"/>
          <w:sz w:val="28"/>
          <w:szCs w:val="28"/>
          <w:lang w:bidi="fa-IR"/>
        </w:rPr>
      </w:pPr>
      <w:r>
        <w:rPr>
          <w:rFonts w:cs="Abz-2 (Badr)" w:hint="cs"/>
          <w:color w:val="000000" w:themeColor="text1"/>
          <w:sz w:val="28"/>
          <w:szCs w:val="28"/>
          <w:rtl/>
          <w:lang w:bidi="fa-IR"/>
        </w:rPr>
        <w:t xml:space="preserve">فلذا قال صاحب الحدائق في هذا الخصوص: </w:t>
      </w:r>
      <w:r w:rsidRPr="00BD79AF">
        <w:rPr>
          <w:rFonts w:cs="Abz-2 (Badr)" w:hint="cs"/>
          <w:color w:val="0070C0"/>
          <w:sz w:val="28"/>
          <w:szCs w:val="28"/>
          <w:rtl/>
          <w:lang w:bidi="fa-IR"/>
        </w:rPr>
        <w:t>«</w:t>
      </w:r>
      <w:r w:rsidRPr="00BD79AF">
        <w:rPr>
          <w:rFonts w:cs="Abz-2 (Badr)"/>
          <w:color w:val="0070C0"/>
          <w:sz w:val="28"/>
          <w:szCs w:val="28"/>
          <w:rtl/>
          <w:lang w:bidi="ar"/>
        </w:rPr>
        <w:t>إن</w:t>
      </w:r>
      <w:r w:rsidRPr="00BD79AF">
        <w:rPr>
          <w:rFonts w:cs="Abz-2 (Badr)" w:hint="cs"/>
          <w:color w:val="0070C0"/>
          <w:sz w:val="28"/>
          <w:szCs w:val="28"/>
          <w:rtl/>
          <w:lang w:bidi="ar"/>
        </w:rPr>
        <w:t>ّ</w:t>
      </w:r>
      <w:r w:rsidRPr="00BD79AF">
        <w:rPr>
          <w:rFonts w:cs="Abz-2 (Badr)"/>
          <w:color w:val="0070C0"/>
          <w:sz w:val="28"/>
          <w:szCs w:val="28"/>
          <w:rtl/>
          <w:lang w:bidi="ar"/>
        </w:rPr>
        <w:t xml:space="preserve"> الأخبار التي أشرنا إليها</w:t>
      </w:r>
      <w:r w:rsidRPr="00BD79AF">
        <w:rPr>
          <w:rFonts w:cs="Abz-2 (Badr)" w:hint="cs"/>
          <w:color w:val="0070C0"/>
          <w:sz w:val="28"/>
          <w:szCs w:val="28"/>
          <w:rtl/>
          <w:lang w:bidi="ar"/>
        </w:rPr>
        <w:t>،</w:t>
      </w:r>
      <w:r w:rsidRPr="00BD79AF">
        <w:rPr>
          <w:rFonts w:cs="Abz-2 (Badr)"/>
          <w:color w:val="0070C0"/>
          <w:sz w:val="28"/>
          <w:szCs w:val="28"/>
          <w:rtl/>
          <w:lang w:bidi="ar"/>
        </w:rPr>
        <w:t xml:space="preserve"> أظهر ظاهر في ترت</w:t>
      </w:r>
      <w:r w:rsidRPr="00BD79AF">
        <w:rPr>
          <w:rFonts w:cs="Abz-2 (Badr)" w:hint="cs"/>
          <w:color w:val="0070C0"/>
          <w:sz w:val="28"/>
          <w:szCs w:val="28"/>
          <w:rtl/>
          <w:lang w:bidi="ar"/>
        </w:rPr>
        <w:t>ّ</w:t>
      </w:r>
      <w:r w:rsidRPr="00BD79AF">
        <w:rPr>
          <w:rFonts w:cs="Abz-2 (Badr)"/>
          <w:color w:val="0070C0"/>
          <w:sz w:val="28"/>
          <w:szCs w:val="28"/>
          <w:rtl/>
          <w:lang w:bidi="ar"/>
        </w:rPr>
        <w:t>ب النفقة على مجر</w:t>
      </w:r>
      <w:r w:rsidRPr="00BD79AF">
        <w:rPr>
          <w:rFonts w:cs="Abz-2 (Badr)" w:hint="cs"/>
          <w:color w:val="0070C0"/>
          <w:sz w:val="28"/>
          <w:szCs w:val="28"/>
          <w:rtl/>
          <w:lang w:bidi="ar"/>
        </w:rPr>
        <w:t>ّ</w:t>
      </w:r>
      <w:r w:rsidRPr="00BD79AF">
        <w:rPr>
          <w:rFonts w:cs="Abz-2 (Badr)"/>
          <w:color w:val="0070C0"/>
          <w:sz w:val="28"/>
          <w:szCs w:val="28"/>
          <w:rtl/>
          <w:lang w:bidi="ar"/>
        </w:rPr>
        <w:t>د العقد</w:t>
      </w:r>
      <w:r w:rsidRPr="00BD79AF">
        <w:rPr>
          <w:rFonts w:cs="Abz-2 (Badr)" w:hint="cs"/>
          <w:color w:val="0070C0"/>
          <w:sz w:val="28"/>
          <w:szCs w:val="28"/>
          <w:rtl/>
          <w:lang w:bidi="ar"/>
        </w:rPr>
        <w:t>،</w:t>
      </w:r>
      <w:r w:rsidRPr="00BD79AF">
        <w:rPr>
          <w:rFonts w:cs="Abz-2 (Badr)"/>
          <w:color w:val="0070C0"/>
          <w:sz w:val="28"/>
          <w:szCs w:val="28"/>
          <w:rtl/>
          <w:lang w:bidi="ar"/>
        </w:rPr>
        <w:t xml:space="preserve"> </w:t>
      </w:r>
      <w:r w:rsidRPr="00BD79AF">
        <w:rPr>
          <w:rFonts w:cs="Abz-2 (Badr)"/>
          <w:color w:val="0070C0"/>
          <w:sz w:val="28"/>
          <w:szCs w:val="28"/>
          <w:rtl/>
          <w:lang w:bidi="ar"/>
        </w:rPr>
        <w:lastRenderedPageBreak/>
        <w:t>فإن</w:t>
      </w:r>
      <w:r w:rsidRPr="00BD79AF">
        <w:rPr>
          <w:rFonts w:cs="Abz-2 (Badr)" w:hint="cs"/>
          <w:color w:val="0070C0"/>
          <w:sz w:val="28"/>
          <w:szCs w:val="28"/>
          <w:rtl/>
          <w:lang w:bidi="ar"/>
        </w:rPr>
        <w:t>ّ</w:t>
      </w:r>
      <w:r w:rsidRPr="00BD79AF">
        <w:rPr>
          <w:rFonts w:cs="Abz-2 (Badr)"/>
          <w:color w:val="0070C0"/>
          <w:sz w:val="28"/>
          <w:szCs w:val="28"/>
          <w:rtl/>
          <w:lang w:bidi="ar"/>
        </w:rPr>
        <w:t xml:space="preserve"> ما اشتمل عليه جملة منها مم</w:t>
      </w:r>
      <w:r w:rsidRPr="00BD79AF">
        <w:rPr>
          <w:rFonts w:cs="Abz-2 (Badr)" w:hint="cs"/>
          <w:color w:val="0070C0"/>
          <w:sz w:val="28"/>
          <w:szCs w:val="28"/>
          <w:rtl/>
          <w:lang w:bidi="ar"/>
        </w:rPr>
        <w:t>ّ</w:t>
      </w:r>
      <w:r w:rsidRPr="00BD79AF">
        <w:rPr>
          <w:rFonts w:cs="Abz-2 (Badr)"/>
          <w:color w:val="0070C0"/>
          <w:sz w:val="28"/>
          <w:szCs w:val="28"/>
          <w:rtl/>
          <w:lang w:bidi="ar"/>
        </w:rPr>
        <w:t>ا ذكرناه وما لم نذكره من قوله</w:t>
      </w:r>
      <w:r w:rsidRPr="00BD79AF">
        <w:rPr>
          <w:rFonts w:cs="Abz-2 (Badr)" w:hint="cs"/>
          <w:color w:val="0070C0"/>
          <w:sz w:val="28"/>
          <w:szCs w:val="28"/>
          <w:rtl/>
          <w:lang w:bidi="ar"/>
        </w:rPr>
        <w:t xml:space="preserve">(ع): </w:t>
      </w:r>
      <w:r w:rsidRPr="00BD79AF">
        <w:rPr>
          <w:rFonts w:cs="Abz-2 (Badr)"/>
          <w:color w:val="0070C0"/>
          <w:sz w:val="28"/>
          <w:szCs w:val="28"/>
          <w:rtl/>
          <w:lang w:bidi="ar"/>
        </w:rPr>
        <w:t>«حق</w:t>
      </w:r>
      <w:r w:rsidRPr="00BD79AF">
        <w:rPr>
          <w:rFonts w:cs="Abz-2 (Badr)" w:hint="cs"/>
          <w:color w:val="0070C0"/>
          <w:sz w:val="28"/>
          <w:szCs w:val="28"/>
          <w:rtl/>
          <w:lang w:bidi="ar"/>
        </w:rPr>
        <w:t>ّ</w:t>
      </w:r>
      <w:r w:rsidRPr="00BD79AF">
        <w:rPr>
          <w:rFonts w:cs="Abz-2 (Badr)"/>
          <w:color w:val="0070C0"/>
          <w:sz w:val="28"/>
          <w:szCs w:val="28"/>
          <w:rtl/>
          <w:lang w:bidi="ar"/>
        </w:rPr>
        <w:t xml:space="preserve"> المرأة على زوجها»</w:t>
      </w:r>
      <w:r w:rsidRPr="00BD79AF">
        <w:rPr>
          <w:rFonts w:cs="Abz-2 (Badr)" w:hint="cs"/>
          <w:color w:val="0070C0"/>
          <w:sz w:val="28"/>
          <w:szCs w:val="28"/>
          <w:rtl/>
          <w:lang w:bidi="ar"/>
        </w:rPr>
        <w:t>...</w:t>
      </w:r>
      <w:r w:rsidRPr="00BD79AF">
        <w:rPr>
          <w:rFonts w:cs="Abz-2 (Badr)"/>
          <w:color w:val="0070C0"/>
          <w:sz w:val="28"/>
          <w:szCs w:val="28"/>
          <w:rtl/>
          <w:lang w:bidi="ar"/>
        </w:rPr>
        <w:t xml:space="preserve"> أظهر ظاهر فيما ذكرناه</w:t>
      </w:r>
      <w:r w:rsidRPr="00BD79AF">
        <w:rPr>
          <w:rFonts w:cs="Abz-2 (Badr)" w:hint="cs"/>
          <w:color w:val="0070C0"/>
          <w:sz w:val="28"/>
          <w:szCs w:val="28"/>
          <w:rtl/>
          <w:lang w:bidi="ar"/>
        </w:rPr>
        <w:t>،</w:t>
      </w:r>
      <w:r w:rsidRPr="00BD79AF">
        <w:rPr>
          <w:rFonts w:cs="Abz-2 (Badr)"/>
          <w:color w:val="0070C0"/>
          <w:sz w:val="28"/>
          <w:szCs w:val="28"/>
          <w:rtl/>
          <w:lang w:bidi="ar"/>
        </w:rPr>
        <w:t xml:space="preserve"> فإن</w:t>
      </w:r>
      <w:r w:rsidRPr="00BD79AF">
        <w:rPr>
          <w:rFonts w:cs="Abz-2 (Badr)" w:hint="cs"/>
          <w:color w:val="0070C0"/>
          <w:sz w:val="28"/>
          <w:szCs w:val="28"/>
          <w:rtl/>
          <w:lang w:bidi="ar"/>
        </w:rPr>
        <w:t>ّ</w:t>
      </w:r>
      <w:r w:rsidRPr="00BD79AF">
        <w:rPr>
          <w:rFonts w:cs="Abz-2 (Badr)"/>
          <w:color w:val="0070C0"/>
          <w:sz w:val="28"/>
          <w:szCs w:val="28"/>
          <w:rtl/>
          <w:lang w:bidi="ar"/>
        </w:rPr>
        <w:t>ه بمجر</w:t>
      </w:r>
      <w:r w:rsidRPr="00BD79AF">
        <w:rPr>
          <w:rFonts w:cs="Abz-2 (Badr)" w:hint="cs"/>
          <w:color w:val="0070C0"/>
          <w:sz w:val="28"/>
          <w:szCs w:val="28"/>
          <w:rtl/>
          <w:lang w:bidi="ar"/>
        </w:rPr>
        <w:t>ّ</w:t>
      </w:r>
      <w:r w:rsidRPr="00BD79AF">
        <w:rPr>
          <w:rFonts w:cs="Abz-2 (Badr)"/>
          <w:color w:val="0070C0"/>
          <w:sz w:val="28"/>
          <w:szCs w:val="28"/>
          <w:rtl/>
          <w:lang w:bidi="ar"/>
        </w:rPr>
        <w:t>د العقد يصدق أن</w:t>
      </w:r>
      <w:r w:rsidRPr="00BD79AF">
        <w:rPr>
          <w:rFonts w:cs="Abz-2 (Badr)" w:hint="cs"/>
          <w:color w:val="0070C0"/>
          <w:sz w:val="28"/>
          <w:szCs w:val="28"/>
          <w:rtl/>
          <w:lang w:bidi="ar"/>
        </w:rPr>
        <w:t>ّ</w:t>
      </w:r>
      <w:r w:rsidRPr="00BD79AF">
        <w:rPr>
          <w:rFonts w:cs="Abz-2 (Badr)"/>
          <w:color w:val="0070C0"/>
          <w:sz w:val="28"/>
          <w:szCs w:val="28"/>
          <w:rtl/>
          <w:lang w:bidi="ar"/>
        </w:rPr>
        <w:t>ه عنده امرأة</w:t>
      </w:r>
      <w:r w:rsidRPr="00BD79AF">
        <w:rPr>
          <w:rFonts w:cs="Abz-2 (Badr)" w:hint="cs"/>
          <w:color w:val="0070C0"/>
          <w:sz w:val="28"/>
          <w:szCs w:val="28"/>
          <w:rtl/>
          <w:lang w:bidi="ar"/>
        </w:rPr>
        <w:t>.</w:t>
      </w:r>
    </w:p>
    <w:p w14:paraId="29E7B016" w14:textId="77777777" w:rsidR="005A0C80" w:rsidRDefault="005A0C80" w:rsidP="005A0C80">
      <w:pPr>
        <w:widowControl w:val="0"/>
        <w:bidi/>
        <w:spacing w:after="0"/>
        <w:ind w:firstLine="284"/>
        <w:jc w:val="both"/>
        <w:rPr>
          <w:rFonts w:cs="Abz-2 (Badr)"/>
          <w:color w:val="0070C0"/>
          <w:sz w:val="28"/>
          <w:szCs w:val="28"/>
          <w:rtl/>
          <w:lang w:bidi="ar"/>
        </w:rPr>
      </w:pPr>
      <w:r w:rsidRPr="00BD79AF">
        <w:rPr>
          <w:rFonts w:cs="Abz-2 (Badr)"/>
          <w:color w:val="0070C0"/>
          <w:sz w:val="28"/>
          <w:szCs w:val="28"/>
          <w:rtl/>
          <w:lang w:bidi="ar"/>
        </w:rPr>
        <w:t>و بالجملة فدلالة الأخبار على ما ذكرناه أظهر ظاهر كما عرفت</w:t>
      </w:r>
      <w:r w:rsidRPr="00BD79AF">
        <w:rPr>
          <w:rFonts w:cs="Abz-2 (Badr)" w:hint="cs"/>
          <w:color w:val="0070C0"/>
          <w:sz w:val="28"/>
          <w:szCs w:val="28"/>
          <w:rtl/>
          <w:lang w:bidi="ar"/>
        </w:rPr>
        <w:t>.»</w:t>
      </w:r>
      <w:r w:rsidRPr="0038058E">
        <w:rPr>
          <w:rFonts w:cs="Abz-2 (Badr)"/>
          <w:color w:val="000000" w:themeColor="text1"/>
          <w:sz w:val="28"/>
          <w:szCs w:val="28"/>
          <w:vertAlign w:val="superscript"/>
          <w:rtl/>
          <w:lang w:bidi="ar"/>
        </w:rPr>
        <w:footnoteReference w:id="4"/>
      </w:r>
    </w:p>
    <w:p w14:paraId="385B01E7" w14:textId="77777777" w:rsidR="005A0C80" w:rsidRPr="00A23540" w:rsidRDefault="005A0C80" w:rsidP="005A0C80">
      <w:pPr>
        <w:widowControl w:val="0"/>
        <w:bidi/>
        <w:spacing w:after="0"/>
        <w:ind w:firstLine="284"/>
        <w:jc w:val="both"/>
        <w:rPr>
          <w:rFonts w:cs="Abz-2 (Badr)"/>
          <w:color w:val="000000" w:themeColor="text1"/>
          <w:sz w:val="28"/>
          <w:szCs w:val="28"/>
          <w:rtl/>
          <w:lang w:bidi="fa-IR"/>
        </w:rPr>
      </w:pPr>
      <w:r w:rsidRPr="00A23540">
        <w:rPr>
          <w:rFonts w:cs="Abz-2 (Badr)"/>
          <w:color w:val="000000" w:themeColor="text1"/>
          <w:sz w:val="28"/>
          <w:szCs w:val="28"/>
          <w:rtl/>
        </w:rPr>
        <w:t>وأمّا التمسّك بالإجماع لإثبات شرطيّة التمكين لوجوب النفقة فغير سديد؛ إذ أوّلاً: هذا الإجماع غير ثابت في نفسه. وثانياً: لو فرض تحقّقه، لم تكن له كاشفيّة عن قول المعصوم(ع)، لقوّة احتمال استناد المجمعين إلى ما ذكر سابقاً من الأدلّة على شرطيّة التمكين</w:t>
      </w:r>
      <w:r>
        <w:rPr>
          <w:rFonts w:cs="Abz-2 (Badr)" w:hint="cs"/>
          <w:color w:val="000000" w:themeColor="text1"/>
          <w:sz w:val="28"/>
          <w:szCs w:val="28"/>
          <w:rtl/>
        </w:rPr>
        <w:t>.</w:t>
      </w:r>
      <w:bookmarkEnd w:id="5"/>
    </w:p>
    <w:bookmarkEnd w:id="2"/>
    <w:p w14:paraId="2AD04477" w14:textId="7D63A4A4" w:rsidR="00B706A3" w:rsidRPr="005A0C80" w:rsidRDefault="00B706A3" w:rsidP="005A0C80">
      <w:pPr>
        <w:rPr>
          <w:rtl/>
        </w:rPr>
      </w:pPr>
    </w:p>
    <w:sectPr w:rsidR="00B706A3" w:rsidRPr="005A0C80" w:rsidSect="005815B4">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2933F" w14:textId="77777777" w:rsidR="00DB3E3C" w:rsidRDefault="00DB3E3C" w:rsidP="00F71127">
      <w:pPr>
        <w:spacing w:after="0" w:line="240" w:lineRule="auto"/>
      </w:pPr>
      <w:r>
        <w:separator/>
      </w:r>
    </w:p>
  </w:endnote>
  <w:endnote w:type="continuationSeparator" w:id="0">
    <w:p w14:paraId="7356C759" w14:textId="77777777" w:rsidR="00DB3E3C" w:rsidRDefault="00DB3E3C"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altName w:val="Arial"/>
    <w:panose1 w:val="00000400000000000000"/>
    <w:charset w:val="B2"/>
    <w:family w:val="auto"/>
    <w:pitch w:val="variable"/>
    <w:sig w:usb0="00002001" w:usb1="00000000" w:usb2="00000000" w:usb3="00000000" w:csb0="00000040" w:csb1="00000000"/>
  </w:font>
  <w:font w:name="IRBadr">
    <w:altName w:val="Arial"/>
    <w:charset w:val="00"/>
    <w:family w:val="auto"/>
    <w:pitch w:val="variable"/>
    <w:sig w:usb0="00002003" w:usb1="00000000" w:usb2="00000000" w:usb3="00000000" w:csb0="00000041"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9D0FE" w14:textId="77777777" w:rsidR="00707A19" w:rsidRDefault="00707A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8ECFC" w14:textId="77777777" w:rsidR="00707A19" w:rsidRDefault="00707A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8A251" w14:textId="77777777" w:rsidR="00DB3E3C" w:rsidRDefault="00DB3E3C" w:rsidP="00EE25C0">
      <w:pPr>
        <w:bidi/>
        <w:spacing w:after="0" w:line="240" w:lineRule="auto"/>
      </w:pPr>
      <w:r>
        <w:separator/>
      </w:r>
    </w:p>
  </w:footnote>
  <w:footnote w:type="continuationSeparator" w:id="0">
    <w:p w14:paraId="7FC81B4D" w14:textId="77777777" w:rsidR="00DB3E3C" w:rsidRDefault="00DB3E3C" w:rsidP="00F71127">
      <w:pPr>
        <w:bidi/>
        <w:spacing w:after="0" w:line="240" w:lineRule="auto"/>
      </w:pPr>
      <w:r>
        <w:continuationSeparator/>
      </w:r>
    </w:p>
  </w:footnote>
  <w:footnote w:id="1">
    <w:p w14:paraId="1664C074" w14:textId="77777777" w:rsidR="005A0C80" w:rsidRDefault="005A0C80" w:rsidP="005A0C80">
      <w:pPr>
        <w:pStyle w:val="FootnoteText"/>
        <w:bidi/>
        <w:rPr>
          <w:rFonts w:cs="Abz-2 (Badr)"/>
          <w:rtl/>
          <w:lang w:bidi="fa-IR"/>
        </w:rPr>
      </w:pPr>
      <w:r w:rsidRPr="004350E0">
        <w:rPr>
          <w:rStyle w:val="FootnoteReference"/>
          <w:rFonts w:cs="Abz-2 (Badr)"/>
          <w:vertAlign w:val="baseline"/>
        </w:rPr>
        <w:footnoteRef/>
      </w:r>
      <w:r w:rsidRPr="004350E0">
        <w:rPr>
          <w:rFonts w:cs="Abz-2 (Badr)" w:hint="cs"/>
          <w:rtl/>
        </w:rPr>
        <w:t xml:space="preserve"> </w:t>
      </w:r>
      <w:r>
        <w:rPr>
          <w:rFonts w:cs="Abz-2 (Badr)" w:hint="cs"/>
          <w:rtl/>
        </w:rPr>
        <w:t>ـ راجع: نهاية المرام،ج1،ص474 ـ الحدائق،ج25،ص99 ـ جواهر،ج31،ص304.</w:t>
      </w:r>
    </w:p>
  </w:footnote>
  <w:footnote w:id="2">
    <w:p w14:paraId="3237EB32" w14:textId="77777777" w:rsidR="005A0C80" w:rsidRDefault="005A0C80" w:rsidP="005A0C80">
      <w:pPr>
        <w:pStyle w:val="FootnoteText"/>
        <w:bidi/>
        <w:rPr>
          <w:rFonts w:cs="Abz-2 (Badr)"/>
          <w:rtl/>
          <w:lang w:bidi="fa-IR"/>
        </w:rPr>
      </w:pPr>
      <w:r w:rsidRPr="004350E0">
        <w:rPr>
          <w:rStyle w:val="FootnoteReference"/>
          <w:rFonts w:cs="Abz-2 (Badr)"/>
          <w:vertAlign w:val="baseline"/>
        </w:rPr>
        <w:footnoteRef/>
      </w:r>
      <w:r w:rsidRPr="004350E0">
        <w:rPr>
          <w:rFonts w:cs="Abz-2 (Badr)" w:hint="cs"/>
          <w:rtl/>
        </w:rPr>
        <w:t xml:space="preserve"> </w:t>
      </w:r>
      <w:r>
        <w:rPr>
          <w:rFonts w:cs="Abz-2 (Badr)" w:hint="cs"/>
          <w:rtl/>
        </w:rPr>
        <w:t>ـ الحدائق،ج25،ص100.</w:t>
      </w:r>
    </w:p>
  </w:footnote>
  <w:footnote w:id="3">
    <w:p w14:paraId="2646BAD4" w14:textId="77777777" w:rsidR="005A0C80" w:rsidRDefault="005A0C80" w:rsidP="005A0C80">
      <w:pPr>
        <w:pStyle w:val="FootnoteText"/>
        <w:bidi/>
        <w:rPr>
          <w:rFonts w:cs="Abz-2 (Badr)"/>
          <w:rtl/>
          <w:lang w:bidi="fa-IR"/>
        </w:rPr>
      </w:pPr>
      <w:r w:rsidRPr="004350E0">
        <w:rPr>
          <w:rStyle w:val="FootnoteReference"/>
          <w:rFonts w:cs="Abz-2 (Badr)"/>
          <w:vertAlign w:val="baseline"/>
        </w:rPr>
        <w:footnoteRef/>
      </w:r>
      <w:r w:rsidRPr="004350E0">
        <w:rPr>
          <w:rFonts w:cs="Abz-2 (Badr)" w:hint="cs"/>
          <w:rtl/>
        </w:rPr>
        <w:t xml:space="preserve"> </w:t>
      </w:r>
      <w:r>
        <w:rPr>
          <w:rFonts w:cs="Abz-2 (Badr)" w:hint="cs"/>
          <w:rtl/>
        </w:rPr>
        <w:t>ـ راجع: نهاية المرام،ج1،ص474 ـ الحدائق،ج25،ص99 ـ جواهر،ج31،ص304.</w:t>
      </w:r>
    </w:p>
  </w:footnote>
  <w:footnote w:id="4">
    <w:p w14:paraId="027A0C72" w14:textId="77777777" w:rsidR="005A0C80" w:rsidRDefault="005A0C80" w:rsidP="005A0C80">
      <w:pPr>
        <w:pStyle w:val="FootnoteText"/>
        <w:bidi/>
        <w:rPr>
          <w:rFonts w:cs="Abz-2 (Badr)"/>
          <w:rtl/>
          <w:lang w:bidi="fa-IR"/>
        </w:rPr>
      </w:pPr>
      <w:r w:rsidRPr="004350E0">
        <w:rPr>
          <w:rStyle w:val="FootnoteReference"/>
          <w:rFonts w:cs="Abz-2 (Badr)"/>
          <w:vertAlign w:val="baseline"/>
        </w:rPr>
        <w:footnoteRef/>
      </w:r>
      <w:r w:rsidRPr="004350E0">
        <w:rPr>
          <w:rFonts w:cs="Abz-2 (Badr)" w:hint="cs"/>
          <w:rtl/>
        </w:rPr>
        <w:t xml:space="preserve"> </w:t>
      </w:r>
      <w:r>
        <w:rPr>
          <w:rFonts w:cs="Abz-2 (Badr)" w:hint="cs"/>
          <w:rtl/>
        </w:rPr>
        <w:t>ـ الحدائق الناضرة،ج25،ص100.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F0E93" w14:textId="77777777" w:rsidR="00707A19" w:rsidRDefault="00707A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77799980">
              <wp:simplePos x="0" y="0"/>
              <wp:positionH relativeFrom="column">
                <wp:posOffset>1595120</wp:posOffset>
              </wp:positionH>
              <wp:positionV relativeFrom="paragraph">
                <wp:posOffset>180975</wp:posOffset>
              </wp:positionV>
              <wp:extent cx="448437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76212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1D09159A"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5A0C80">
                            <w:rPr>
                              <w:rFonts w:cs="B Mehr" w:hint="cs"/>
                              <w:rtl/>
                              <w:lang w:bidi="fa-IR"/>
                            </w:rPr>
                            <w:t xml:space="preserve">سه </w:t>
                          </w:r>
                          <w:r w:rsidR="00A835C9">
                            <w:rPr>
                              <w:rFonts w:cs="B Mehr" w:hint="cs"/>
                              <w:rtl/>
                              <w:lang w:bidi="fa-IR"/>
                            </w:rPr>
                            <w:t>شنبه</w:t>
                          </w:r>
                          <w:r>
                            <w:rPr>
                              <w:rFonts w:cs="B Mehr" w:hint="cs"/>
                              <w:rtl/>
                              <w:lang w:bidi="fa-IR"/>
                            </w:rPr>
                            <w:t xml:space="preserve"> </w:t>
                          </w:r>
                          <w:r>
                            <w:rPr>
                              <w:rFonts w:cs="B Mehr" w:hint="cs"/>
                              <w:rtl/>
                            </w:rPr>
                            <w:t xml:space="preserve">،   </w:t>
                          </w:r>
                          <w:r w:rsidR="005A0C80">
                            <w:rPr>
                              <w:rFonts w:cs="B Mehr" w:hint="cs"/>
                              <w:rtl/>
                              <w:lang w:bidi="fa-IR"/>
                            </w:rPr>
                            <w:t>15</w:t>
                          </w:r>
                          <w:r w:rsidR="00C253FC">
                            <w:rPr>
                              <w:rFonts w:cs="B Mehr" w:hint="cs"/>
                              <w:rtl/>
                              <w:lang w:bidi="fa-IR"/>
                            </w:rPr>
                            <w:t xml:space="preserve"> </w:t>
                          </w:r>
                          <w:r w:rsidR="00C64E5C">
                            <w:rPr>
                              <w:rFonts w:cs="B Mehr" w:hint="cs"/>
                              <w:rtl/>
                              <w:lang w:bidi="fa-IR"/>
                            </w:rPr>
                            <w:t xml:space="preserve"> </w:t>
                          </w:r>
                          <w:r w:rsidR="00B706A3">
                            <w:rPr>
                              <w:rFonts w:cs="B Mehr" w:hint="cs"/>
                              <w:rtl/>
                              <w:lang w:bidi="fa-IR"/>
                            </w:rPr>
                            <w:t>مهرما</w:t>
                          </w:r>
                          <w:r>
                            <w:rPr>
                              <w:rFonts w:cs="B Mehr" w:hint="cs"/>
                              <w:rtl/>
                            </w:rPr>
                            <w:t>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25.6pt;margin-top:14.25pt;width:353.1pt;height:13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lDQIAAPc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1D09159A"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5A0C80">
                      <w:rPr>
                        <w:rFonts w:cs="B Mehr" w:hint="cs"/>
                        <w:rtl/>
                        <w:lang w:bidi="fa-IR"/>
                      </w:rPr>
                      <w:t xml:space="preserve">سه </w:t>
                    </w:r>
                    <w:r w:rsidR="00A835C9">
                      <w:rPr>
                        <w:rFonts w:cs="B Mehr" w:hint="cs"/>
                        <w:rtl/>
                        <w:lang w:bidi="fa-IR"/>
                      </w:rPr>
                      <w:t>شنبه</w:t>
                    </w:r>
                    <w:r>
                      <w:rPr>
                        <w:rFonts w:cs="B Mehr" w:hint="cs"/>
                        <w:rtl/>
                        <w:lang w:bidi="fa-IR"/>
                      </w:rPr>
                      <w:t xml:space="preserve"> </w:t>
                    </w:r>
                    <w:r>
                      <w:rPr>
                        <w:rFonts w:cs="B Mehr" w:hint="cs"/>
                        <w:rtl/>
                      </w:rPr>
                      <w:t xml:space="preserve">،   </w:t>
                    </w:r>
                    <w:r w:rsidR="005A0C80">
                      <w:rPr>
                        <w:rFonts w:cs="B Mehr" w:hint="cs"/>
                        <w:rtl/>
                        <w:lang w:bidi="fa-IR"/>
                      </w:rPr>
                      <w:t>15</w:t>
                    </w:r>
                    <w:r w:rsidR="00C253FC">
                      <w:rPr>
                        <w:rFonts w:cs="B Mehr" w:hint="cs"/>
                        <w:rtl/>
                        <w:lang w:bidi="fa-IR"/>
                      </w:rPr>
                      <w:t xml:space="preserve"> </w:t>
                    </w:r>
                    <w:r w:rsidR="00C64E5C">
                      <w:rPr>
                        <w:rFonts w:cs="B Mehr" w:hint="cs"/>
                        <w:rtl/>
                        <w:lang w:bidi="fa-IR"/>
                      </w:rPr>
                      <w:t xml:space="preserve"> </w:t>
                    </w:r>
                    <w:r w:rsidR="00B706A3">
                      <w:rPr>
                        <w:rFonts w:cs="B Mehr" w:hint="cs"/>
                        <w:rtl/>
                        <w:lang w:bidi="fa-IR"/>
                      </w:rPr>
                      <w:t>مهرما</w:t>
                    </w:r>
                    <w:r>
                      <w:rPr>
                        <w:rFonts w:cs="B Mehr" w:hint="cs"/>
                        <w:rtl/>
                      </w:rPr>
                      <w:t>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9898A" w14:textId="77777777" w:rsidR="00707A19" w:rsidRDefault="00707A1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13DF"/>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88F"/>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351C"/>
    <w:rsid w:val="00123767"/>
    <w:rsid w:val="00123C66"/>
    <w:rsid w:val="00125597"/>
    <w:rsid w:val="001255F1"/>
    <w:rsid w:val="00125951"/>
    <w:rsid w:val="00125FA8"/>
    <w:rsid w:val="00125FDD"/>
    <w:rsid w:val="0012644A"/>
    <w:rsid w:val="0012691C"/>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37E8"/>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67463"/>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1586"/>
    <w:rsid w:val="001E2500"/>
    <w:rsid w:val="001E259D"/>
    <w:rsid w:val="001E2F1F"/>
    <w:rsid w:val="001E316E"/>
    <w:rsid w:val="001E42BD"/>
    <w:rsid w:val="001E42C2"/>
    <w:rsid w:val="001E4A2F"/>
    <w:rsid w:val="001E5318"/>
    <w:rsid w:val="001E5F90"/>
    <w:rsid w:val="001E7DD4"/>
    <w:rsid w:val="001F0D9D"/>
    <w:rsid w:val="001F10F8"/>
    <w:rsid w:val="001F22D4"/>
    <w:rsid w:val="001F2A91"/>
    <w:rsid w:val="001F2AD5"/>
    <w:rsid w:val="001F2B6B"/>
    <w:rsid w:val="001F4E1F"/>
    <w:rsid w:val="001F55A0"/>
    <w:rsid w:val="001F5FEF"/>
    <w:rsid w:val="001F7036"/>
    <w:rsid w:val="001F7146"/>
    <w:rsid w:val="001F7742"/>
    <w:rsid w:val="001F7B61"/>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2CC8"/>
    <w:rsid w:val="00223760"/>
    <w:rsid w:val="00224A02"/>
    <w:rsid w:val="00224B4E"/>
    <w:rsid w:val="00225039"/>
    <w:rsid w:val="0022642F"/>
    <w:rsid w:val="00226A06"/>
    <w:rsid w:val="00226BFA"/>
    <w:rsid w:val="002275B4"/>
    <w:rsid w:val="00230ACF"/>
    <w:rsid w:val="00230EC1"/>
    <w:rsid w:val="0023164B"/>
    <w:rsid w:val="002316AF"/>
    <w:rsid w:val="00231CAC"/>
    <w:rsid w:val="0023210B"/>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166"/>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666"/>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98C"/>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41B2"/>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27A58"/>
    <w:rsid w:val="0043017E"/>
    <w:rsid w:val="00430B2C"/>
    <w:rsid w:val="004325DD"/>
    <w:rsid w:val="00432F13"/>
    <w:rsid w:val="00433357"/>
    <w:rsid w:val="004333C8"/>
    <w:rsid w:val="0043340D"/>
    <w:rsid w:val="004335E4"/>
    <w:rsid w:val="00434053"/>
    <w:rsid w:val="004342E8"/>
    <w:rsid w:val="00435007"/>
    <w:rsid w:val="0043525A"/>
    <w:rsid w:val="004360B2"/>
    <w:rsid w:val="00436E12"/>
    <w:rsid w:val="0043733E"/>
    <w:rsid w:val="00437D81"/>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6D4"/>
    <w:rsid w:val="004B67F7"/>
    <w:rsid w:val="004B69C8"/>
    <w:rsid w:val="004B6FFA"/>
    <w:rsid w:val="004B709D"/>
    <w:rsid w:val="004B7366"/>
    <w:rsid w:val="004B78A6"/>
    <w:rsid w:val="004C09DD"/>
    <w:rsid w:val="004C0A9B"/>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4F6906"/>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6E95"/>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714"/>
    <w:rsid w:val="00524815"/>
    <w:rsid w:val="00524A85"/>
    <w:rsid w:val="0052536B"/>
    <w:rsid w:val="00525A13"/>
    <w:rsid w:val="00525E9B"/>
    <w:rsid w:val="00526273"/>
    <w:rsid w:val="0052728F"/>
    <w:rsid w:val="00527B4D"/>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5B4"/>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0C80"/>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294"/>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33"/>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552D"/>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9C5"/>
    <w:rsid w:val="00677FD6"/>
    <w:rsid w:val="00680C0B"/>
    <w:rsid w:val="00680C33"/>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607"/>
    <w:rsid w:val="006C773B"/>
    <w:rsid w:val="006C7A51"/>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C08"/>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A19"/>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2A3"/>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359A"/>
    <w:rsid w:val="00834DD1"/>
    <w:rsid w:val="0083511D"/>
    <w:rsid w:val="008353D8"/>
    <w:rsid w:val="0083604C"/>
    <w:rsid w:val="00836783"/>
    <w:rsid w:val="00836FC7"/>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2E1B"/>
    <w:rsid w:val="0087360A"/>
    <w:rsid w:val="00874389"/>
    <w:rsid w:val="008744A3"/>
    <w:rsid w:val="008751D3"/>
    <w:rsid w:val="008755CE"/>
    <w:rsid w:val="00875CD7"/>
    <w:rsid w:val="00875F23"/>
    <w:rsid w:val="00876056"/>
    <w:rsid w:val="00876372"/>
    <w:rsid w:val="008774CF"/>
    <w:rsid w:val="00880173"/>
    <w:rsid w:val="00880698"/>
    <w:rsid w:val="00880E6D"/>
    <w:rsid w:val="00881627"/>
    <w:rsid w:val="00881E43"/>
    <w:rsid w:val="00882A45"/>
    <w:rsid w:val="008830C4"/>
    <w:rsid w:val="00883153"/>
    <w:rsid w:val="00884197"/>
    <w:rsid w:val="00884A15"/>
    <w:rsid w:val="00885058"/>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6E18"/>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2C"/>
    <w:rsid w:val="00965DD0"/>
    <w:rsid w:val="009664CC"/>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2C8C"/>
    <w:rsid w:val="00A2314A"/>
    <w:rsid w:val="00A23159"/>
    <w:rsid w:val="00A23AD9"/>
    <w:rsid w:val="00A2412C"/>
    <w:rsid w:val="00A24ED5"/>
    <w:rsid w:val="00A25398"/>
    <w:rsid w:val="00A264FF"/>
    <w:rsid w:val="00A2700D"/>
    <w:rsid w:val="00A272BC"/>
    <w:rsid w:val="00A27527"/>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FF9"/>
    <w:rsid w:val="00A82392"/>
    <w:rsid w:val="00A835C9"/>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2CB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50C0"/>
    <w:rsid w:val="00B553EC"/>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06A3"/>
    <w:rsid w:val="00B71B91"/>
    <w:rsid w:val="00B7242C"/>
    <w:rsid w:val="00B73524"/>
    <w:rsid w:val="00B73698"/>
    <w:rsid w:val="00B74363"/>
    <w:rsid w:val="00B74659"/>
    <w:rsid w:val="00B7468F"/>
    <w:rsid w:val="00B7484F"/>
    <w:rsid w:val="00B74F0F"/>
    <w:rsid w:val="00B7557E"/>
    <w:rsid w:val="00B75C0B"/>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4633"/>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347"/>
    <w:rsid w:val="00BF1FA6"/>
    <w:rsid w:val="00BF2570"/>
    <w:rsid w:val="00BF2C43"/>
    <w:rsid w:val="00BF2CBE"/>
    <w:rsid w:val="00BF46B9"/>
    <w:rsid w:val="00BF51AC"/>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3FC"/>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4E5C"/>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359"/>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2739"/>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7225"/>
    <w:rsid w:val="00D701D9"/>
    <w:rsid w:val="00D70280"/>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13A"/>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3E3C"/>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2F91"/>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0D"/>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5EC"/>
    <w:rsid w:val="00EA36CE"/>
    <w:rsid w:val="00EA3E74"/>
    <w:rsid w:val="00EA57A0"/>
    <w:rsid w:val="00EA5958"/>
    <w:rsid w:val="00EA648C"/>
    <w:rsid w:val="00EA7966"/>
    <w:rsid w:val="00EB050B"/>
    <w:rsid w:val="00EB1D58"/>
    <w:rsid w:val="00EB26DB"/>
    <w:rsid w:val="00EB2FF6"/>
    <w:rsid w:val="00EB312B"/>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7708"/>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6EA8"/>
    <w:rsid w:val="00F1763E"/>
    <w:rsid w:val="00F17CBB"/>
    <w:rsid w:val="00F22DCF"/>
    <w:rsid w:val="00F248CE"/>
    <w:rsid w:val="00F24CA8"/>
    <w:rsid w:val="00F25495"/>
    <w:rsid w:val="00F25A88"/>
    <w:rsid w:val="00F2670D"/>
    <w:rsid w:val="00F275E0"/>
    <w:rsid w:val="00F27E84"/>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E2"/>
    <w:rsid w:val="00F46B08"/>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87992"/>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29AA"/>
    <w:rsid w:val="00FA310B"/>
    <w:rsid w:val="00FA3411"/>
    <w:rsid w:val="00FA3904"/>
    <w:rsid w:val="00FA3DF2"/>
    <w:rsid w:val="00FA41CD"/>
    <w:rsid w:val="00FA41F1"/>
    <w:rsid w:val="00FA4541"/>
    <w:rsid w:val="00FA4D69"/>
    <w:rsid w:val="00FA52DD"/>
    <w:rsid w:val="00FA5403"/>
    <w:rsid w:val="00FA5DD1"/>
    <w:rsid w:val="00FA6266"/>
    <w:rsid w:val="00FA69BB"/>
    <w:rsid w:val="00FA6CA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1F2E"/>
    <w:rsid w:val="00FE2D69"/>
    <w:rsid w:val="00FE339B"/>
    <w:rsid w:val="00FE3CCD"/>
    <w:rsid w:val="00FE3E51"/>
    <w:rsid w:val="00FE4A36"/>
    <w:rsid w:val="00FE5178"/>
    <w:rsid w:val="00FE5CC2"/>
    <w:rsid w:val="00FE64B4"/>
    <w:rsid w:val="00FE741C"/>
    <w:rsid w:val="00FE7F32"/>
    <w:rsid w:val="00FF0795"/>
    <w:rsid w:val="00FF3A94"/>
    <w:rsid w:val="00FF3BB3"/>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 w:type="paragraph" w:customStyle="1" w:styleId="a0">
    <w:name w:val="روایت و آیه"/>
    <w:basedOn w:val="Normal"/>
    <w:link w:val="Char"/>
    <w:qFormat/>
    <w:rsid w:val="00C64E5C"/>
    <w:pPr>
      <w:bidi/>
      <w:jc w:val="both"/>
    </w:pPr>
    <w:rPr>
      <w:rFonts w:ascii="IRBadr" w:hAnsi="IRBadr" w:cs="IRBadr"/>
      <w:b/>
      <w:bCs/>
      <w:color w:val="00B050"/>
      <w:kern w:val="2"/>
      <w:sz w:val="27"/>
      <w:szCs w:val="27"/>
      <w:lang w:bidi="fa-IR"/>
      <w14:ligatures w14:val="standardContextual"/>
    </w:rPr>
  </w:style>
  <w:style w:type="character" w:customStyle="1" w:styleId="Char">
    <w:name w:val="روایت و آیه Char"/>
    <w:basedOn w:val="DefaultParagraphFont"/>
    <w:link w:val="a0"/>
    <w:rsid w:val="00C64E5C"/>
    <w:rPr>
      <w:rFonts w:ascii="IRBadr" w:hAnsi="IRBadr" w:cs="IRBadr"/>
      <w:b/>
      <w:bCs/>
      <w:color w:val="00B050"/>
      <w:kern w:val="2"/>
      <w:sz w:val="27"/>
      <w:szCs w:val="27"/>
      <w:lang w:bidi="fa-I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1149389">
      <w:bodyDiv w:val="1"/>
      <w:marLeft w:val="0"/>
      <w:marRight w:val="0"/>
      <w:marTop w:val="0"/>
      <w:marBottom w:val="0"/>
      <w:divBdr>
        <w:top w:val="none" w:sz="0" w:space="0" w:color="auto"/>
        <w:left w:val="none" w:sz="0" w:space="0" w:color="auto"/>
        <w:bottom w:val="none" w:sz="0" w:space="0" w:color="auto"/>
        <w:right w:val="none" w:sz="0" w:space="0" w:color="auto"/>
      </w:divBdr>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1604170">
      <w:bodyDiv w:val="1"/>
      <w:marLeft w:val="0"/>
      <w:marRight w:val="0"/>
      <w:marTop w:val="0"/>
      <w:marBottom w:val="0"/>
      <w:divBdr>
        <w:top w:val="none" w:sz="0" w:space="0" w:color="auto"/>
        <w:left w:val="none" w:sz="0" w:space="0" w:color="auto"/>
        <w:bottom w:val="none" w:sz="0" w:space="0" w:color="auto"/>
        <w:right w:val="none" w:sz="0" w:space="0" w:color="auto"/>
      </w:divBdr>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6309916">
      <w:bodyDiv w:val="1"/>
      <w:marLeft w:val="0"/>
      <w:marRight w:val="0"/>
      <w:marTop w:val="0"/>
      <w:marBottom w:val="0"/>
      <w:divBdr>
        <w:top w:val="none" w:sz="0" w:space="0" w:color="auto"/>
        <w:left w:val="none" w:sz="0" w:space="0" w:color="auto"/>
        <w:bottom w:val="none" w:sz="0" w:space="0" w:color="auto"/>
        <w:right w:val="none" w:sz="0" w:space="0" w:color="auto"/>
      </w:divBdr>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7601235">
      <w:bodyDiv w:val="1"/>
      <w:marLeft w:val="0"/>
      <w:marRight w:val="0"/>
      <w:marTop w:val="0"/>
      <w:marBottom w:val="0"/>
      <w:divBdr>
        <w:top w:val="none" w:sz="0" w:space="0" w:color="auto"/>
        <w:left w:val="none" w:sz="0" w:space="0" w:color="auto"/>
        <w:bottom w:val="none" w:sz="0" w:space="0" w:color="auto"/>
        <w:right w:val="none" w:sz="0" w:space="0" w:color="auto"/>
      </w:divBdr>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4774052">
      <w:bodyDiv w:val="1"/>
      <w:marLeft w:val="0"/>
      <w:marRight w:val="0"/>
      <w:marTop w:val="0"/>
      <w:marBottom w:val="0"/>
      <w:divBdr>
        <w:top w:val="none" w:sz="0" w:space="0" w:color="auto"/>
        <w:left w:val="none" w:sz="0" w:space="0" w:color="auto"/>
        <w:bottom w:val="none" w:sz="0" w:space="0" w:color="auto"/>
        <w:right w:val="none" w:sz="0" w:space="0" w:color="auto"/>
      </w:divBdr>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2822134">
      <w:bodyDiv w:val="1"/>
      <w:marLeft w:val="0"/>
      <w:marRight w:val="0"/>
      <w:marTop w:val="0"/>
      <w:marBottom w:val="0"/>
      <w:divBdr>
        <w:top w:val="none" w:sz="0" w:space="0" w:color="auto"/>
        <w:left w:val="none" w:sz="0" w:space="0" w:color="auto"/>
        <w:bottom w:val="none" w:sz="0" w:space="0" w:color="auto"/>
        <w:right w:val="none" w:sz="0" w:space="0" w:color="auto"/>
      </w:divBdr>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2679287">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216455">
      <w:bodyDiv w:val="1"/>
      <w:marLeft w:val="0"/>
      <w:marRight w:val="0"/>
      <w:marTop w:val="0"/>
      <w:marBottom w:val="0"/>
      <w:divBdr>
        <w:top w:val="none" w:sz="0" w:space="0" w:color="auto"/>
        <w:left w:val="none" w:sz="0" w:space="0" w:color="auto"/>
        <w:bottom w:val="none" w:sz="0" w:space="0" w:color="auto"/>
        <w:right w:val="none" w:sz="0" w:space="0" w:color="auto"/>
      </w:divBdr>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78396814">
      <w:bodyDiv w:val="1"/>
      <w:marLeft w:val="0"/>
      <w:marRight w:val="0"/>
      <w:marTop w:val="0"/>
      <w:marBottom w:val="0"/>
      <w:divBdr>
        <w:top w:val="none" w:sz="0" w:space="0" w:color="auto"/>
        <w:left w:val="none" w:sz="0" w:space="0" w:color="auto"/>
        <w:bottom w:val="none" w:sz="0" w:space="0" w:color="auto"/>
        <w:right w:val="none" w:sz="0" w:space="0" w:color="auto"/>
      </w:divBdr>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5087593">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0561292">
      <w:bodyDiv w:val="1"/>
      <w:marLeft w:val="0"/>
      <w:marRight w:val="0"/>
      <w:marTop w:val="0"/>
      <w:marBottom w:val="0"/>
      <w:divBdr>
        <w:top w:val="none" w:sz="0" w:space="0" w:color="auto"/>
        <w:left w:val="none" w:sz="0" w:space="0" w:color="auto"/>
        <w:bottom w:val="none" w:sz="0" w:space="0" w:color="auto"/>
        <w:right w:val="none" w:sz="0" w:space="0" w:color="auto"/>
      </w:divBdr>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38839545">
      <w:bodyDiv w:val="1"/>
      <w:marLeft w:val="0"/>
      <w:marRight w:val="0"/>
      <w:marTop w:val="0"/>
      <w:marBottom w:val="0"/>
      <w:divBdr>
        <w:top w:val="none" w:sz="0" w:space="0" w:color="auto"/>
        <w:left w:val="none" w:sz="0" w:space="0" w:color="auto"/>
        <w:bottom w:val="none" w:sz="0" w:space="0" w:color="auto"/>
        <w:right w:val="none" w:sz="0" w:space="0" w:color="auto"/>
      </w:divBdr>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21725</TotalTime>
  <Pages>1</Pages>
  <Words>661</Words>
  <Characters>3768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615</cp:revision>
  <cp:lastPrinted>2025-04-14T09:12:00Z</cp:lastPrinted>
  <dcterms:created xsi:type="dcterms:W3CDTF">2022-10-16T08:36:00Z</dcterms:created>
  <dcterms:modified xsi:type="dcterms:W3CDTF">2025-10-07T16:18:00Z</dcterms:modified>
</cp:coreProperties>
</file>