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1C9" w14:textId="77777777" w:rsidR="001437E8" w:rsidRPr="00652E92" w:rsidRDefault="001437E8" w:rsidP="001437E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5A321214" w14:textId="77777777" w:rsidR="001437E8" w:rsidRPr="00652E92" w:rsidRDefault="001437E8" w:rsidP="001437E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4DEC5CBC" w14:textId="77777777" w:rsidR="001437E8" w:rsidRPr="00652E92" w:rsidRDefault="001437E8" w:rsidP="001437E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846</w:t>
      </w:r>
    </w:p>
    <w:p w14:paraId="7FAE7F78" w14:textId="77777777" w:rsidR="001437E8" w:rsidRDefault="001437E8" w:rsidP="001437E8">
      <w:pPr>
        <w:widowControl w:val="0"/>
        <w:bidi/>
        <w:spacing w:after="0"/>
        <w:ind w:firstLine="284"/>
        <w:jc w:val="both"/>
        <w:rPr>
          <w:rFonts w:cs="Abz-2 (Badr)"/>
          <w:sz w:val="28"/>
          <w:szCs w:val="28"/>
          <w:rtl/>
          <w:lang w:bidi="fa-IR"/>
        </w:rPr>
      </w:pPr>
      <w:bookmarkStart w:id="0" w:name="_Hlk159096966"/>
    </w:p>
    <w:p w14:paraId="645D235D"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bookmarkStart w:id="1" w:name="_Hlk209798859"/>
      <w:bookmarkEnd w:id="0"/>
      <w:r>
        <w:rPr>
          <w:rFonts w:cs="Abz-2 (Badr)" w:hint="cs"/>
          <w:color w:val="000000" w:themeColor="text1"/>
          <w:sz w:val="28"/>
          <w:szCs w:val="28"/>
          <w:rtl/>
          <w:lang w:bidi="fa-IR"/>
        </w:rPr>
        <w:t>گفتيم که اشکال مدعای صاحب جواهر اين است که در آن بين مقام ثبوت و مقام اثبات خلط صورت پذيرفته است و آنچه که محلّ بحث در اين مقام است، شرطيت تمکين يا مانعيت نشوز در مقام اثبات است نه مقام ثبوت.</w:t>
      </w:r>
    </w:p>
    <w:p w14:paraId="6422A1E4" w14:textId="77777777" w:rsidR="001437E8" w:rsidRPr="0038058E" w:rsidRDefault="001437E8" w:rsidP="001437E8">
      <w:pPr>
        <w:widowControl w:val="0"/>
        <w:bidi/>
        <w:spacing w:after="0" w:line="254" w:lineRule="auto"/>
        <w:ind w:firstLine="284"/>
        <w:jc w:val="both"/>
        <w:rPr>
          <w:rFonts w:cs="Abz-2 (Badr)"/>
          <w:color w:val="0070C0"/>
          <w:sz w:val="28"/>
          <w:szCs w:val="28"/>
          <w:lang w:bidi="fa-IR"/>
        </w:rPr>
      </w:pPr>
      <w:r w:rsidRPr="0038058E">
        <w:rPr>
          <w:rFonts w:cs="Abz-2 (Badr)" w:hint="cs"/>
          <w:color w:val="000000" w:themeColor="text1"/>
          <w:sz w:val="28"/>
          <w:szCs w:val="28"/>
          <w:rtl/>
          <w:lang w:bidi="fa-IR"/>
        </w:rPr>
        <w:t>آنچه که می</w:t>
      </w:r>
      <w:r w:rsidRPr="0038058E">
        <w:rPr>
          <w:rFonts w:cs="Abz-2 (Badr)" w:hint="cs"/>
          <w:color w:val="000000" w:themeColor="text1"/>
          <w:sz w:val="28"/>
          <w:szCs w:val="28"/>
          <w:rtl/>
          <w:lang w:bidi="fa-IR"/>
        </w:rPr>
        <w:softHyphen/>
        <w:t>تواند مؤيّد مدعای ما مبنی بر اثباتی بودن نزاع باشد، ثمراتی است که صاحب مدارک بر اين مسأله مترتب کرده</w:t>
      </w:r>
      <w:r w:rsidRPr="0038058E">
        <w:rPr>
          <w:rFonts w:cs="Abz-2 (Badr)" w:hint="cs"/>
          <w:color w:val="000000" w:themeColor="text1"/>
          <w:sz w:val="28"/>
          <w:szCs w:val="28"/>
          <w:rtl/>
          <w:lang w:bidi="fa-IR"/>
        </w:rPr>
        <w:softHyphen/>
        <w:t>اند. ايشان در اين خصوص فرموده</w:t>
      </w:r>
      <w:r w:rsidRPr="0038058E">
        <w:rPr>
          <w:rFonts w:cs="Abz-2 (Badr)" w:hint="cs"/>
          <w:color w:val="000000" w:themeColor="text1"/>
          <w:sz w:val="28"/>
          <w:szCs w:val="28"/>
          <w:rtl/>
          <w:lang w:bidi="fa-IR"/>
        </w:rPr>
        <w:softHyphen/>
        <w:t xml:space="preserve">اند: </w:t>
      </w:r>
      <w:r w:rsidRPr="0038058E">
        <w:rPr>
          <w:rFonts w:cs="Abz-2 (Badr)" w:hint="cs"/>
          <w:color w:val="0070C0"/>
          <w:sz w:val="28"/>
          <w:szCs w:val="28"/>
          <w:rtl/>
          <w:lang w:bidi="fa-IR"/>
        </w:rPr>
        <w:t>«</w:t>
      </w:r>
      <w:r w:rsidRPr="0038058E">
        <w:rPr>
          <w:rFonts w:cs="Abz-2 (Badr)" w:hint="cs"/>
          <w:color w:val="0070C0"/>
          <w:sz w:val="28"/>
          <w:szCs w:val="28"/>
          <w:rtl/>
          <w:lang w:bidi="ar"/>
        </w:rPr>
        <w:t>تظهر فائدة الخلاف في مواضع:</w:t>
      </w:r>
    </w:p>
    <w:p w14:paraId="1FA99261" w14:textId="77777777" w:rsidR="001437E8" w:rsidRPr="0038058E" w:rsidRDefault="001437E8" w:rsidP="001437E8">
      <w:pPr>
        <w:widowControl w:val="0"/>
        <w:bidi/>
        <w:spacing w:after="0" w:line="254" w:lineRule="auto"/>
        <w:ind w:firstLine="284"/>
        <w:jc w:val="both"/>
        <w:rPr>
          <w:rFonts w:cs="Abz-2 (Badr)"/>
          <w:color w:val="0070C0"/>
          <w:sz w:val="28"/>
          <w:szCs w:val="28"/>
          <w:rtl/>
          <w:lang w:bidi="fa-IR"/>
        </w:rPr>
      </w:pPr>
      <w:r w:rsidRPr="0038058E">
        <w:rPr>
          <w:rFonts w:cs="Abz-2 (Badr)" w:hint="cs"/>
          <w:color w:val="0070C0"/>
          <w:sz w:val="28"/>
          <w:szCs w:val="28"/>
          <w:rtl/>
          <w:lang w:bidi="ar"/>
        </w:rPr>
        <w:t>منها: ما لو اختلفا في التمكين بأن ادّعته المرأة وأنكره الزوج، فإن قلنا: إنّ‌ التمكين شرط أو سبب، فالقول قول الزوج وعلى المرأة البيّنة، لأنّها تدّعي ما يخالف الأصل، وإن قلنا: إنّها تجب بالعقد و النشوز مانع، كان القول قولها، لأنّ الأصل استمرار ما ثبت بالعقد وهو يدّعي السقوط بالنشوز، فعليه البيّنة.</w:t>
      </w:r>
    </w:p>
    <w:p w14:paraId="476151F4" w14:textId="77777777" w:rsidR="001437E8" w:rsidRPr="0038058E" w:rsidRDefault="001437E8" w:rsidP="001437E8">
      <w:pPr>
        <w:widowControl w:val="0"/>
        <w:bidi/>
        <w:spacing w:after="0" w:line="254" w:lineRule="auto"/>
        <w:ind w:firstLine="284"/>
        <w:jc w:val="both"/>
        <w:rPr>
          <w:rFonts w:cs="Abz-2 (Badr)"/>
          <w:color w:val="000000" w:themeColor="text1"/>
          <w:sz w:val="28"/>
          <w:szCs w:val="28"/>
          <w:lang w:bidi="fa-IR"/>
        </w:rPr>
      </w:pPr>
      <w:r w:rsidRPr="0038058E">
        <w:rPr>
          <w:rFonts w:cs="Abz-2 (Badr)" w:hint="cs"/>
          <w:color w:val="0070C0"/>
          <w:sz w:val="28"/>
          <w:szCs w:val="28"/>
          <w:rtl/>
          <w:lang w:bidi="ar"/>
        </w:rPr>
        <w:t>ومنها: ما لو لم يطالبها الزوج بالزفاف ولم تمتنع منه ولا عرضت نفسها عليه ومضت على ذلك مدّة، فإن اعتبرنا التمكين فلا نفقة لها، لأنّه لم يحصل من جانبها تمكين قولي‌ ولا فعلي‌ كما هو المقدّر لها، وإن قلنا: إنّها تجب بالعقد وتسقط بالنشوز، وجب النفقة، إذ المفروض أنّه لم يقع من جانبها امتناع يتحقّق به النشوز.»</w:t>
      </w:r>
      <w:r w:rsidRPr="0038058E">
        <w:rPr>
          <w:rFonts w:cs="Abz-2 (Badr)"/>
          <w:color w:val="000000" w:themeColor="text1"/>
          <w:sz w:val="28"/>
          <w:szCs w:val="28"/>
          <w:vertAlign w:val="superscript"/>
          <w:rtl/>
          <w:lang w:bidi="ar"/>
        </w:rPr>
        <w:footnoteReference w:id="1"/>
      </w:r>
    </w:p>
    <w:p w14:paraId="7B91D8C0" w14:textId="77777777" w:rsidR="001437E8" w:rsidRPr="0038058E" w:rsidRDefault="001437E8" w:rsidP="001437E8">
      <w:pPr>
        <w:widowControl w:val="0"/>
        <w:bidi/>
        <w:spacing w:after="0" w:line="254" w:lineRule="auto"/>
        <w:ind w:firstLine="284"/>
        <w:jc w:val="both"/>
        <w:rPr>
          <w:rFonts w:cs="Abz-2 (Badr)"/>
          <w:color w:val="000000" w:themeColor="text1"/>
          <w:sz w:val="28"/>
          <w:szCs w:val="28"/>
          <w:rtl/>
          <w:lang w:bidi="fa-IR"/>
        </w:rPr>
      </w:pPr>
      <w:r w:rsidRPr="0038058E">
        <w:rPr>
          <w:rFonts w:cs="Abz-2 (Badr)" w:hint="cs"/>
          <w:color w:val="000000" w:themeColor="text1"/>
          <w:sz w:val="28"/>
          <w:szCs w:val="28"/>
          <w:rtl/>
          <w:lang w:bidi="fa-IR"/>
        </w:rPr>
        <w:t>وجه تأييد اين است که در ثمره اول، معلوم است که نزاع مربوط به مقام اثبات است، فلذا بحث از بينه و يمين مطرح شده است.</w:t>
      </w:r>
    </w:p>
    <w:p w14:paraId="25353929"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bookmarkStart w:id="2" w:name="_Hlk210638415"/>
      <w:r w:rsidRPr="0038058E">
        <w:rPr>
          <w:rFonts w:cs="Abz-2 (Badr)" w:hint="cs"/>
          <w:color w:val="000000" w:themeColor="text1"/>
          <w:sz w:val="28"/>
          <w:szCs w:val="28"/>
          <w:rtl/>
          <w:lang w:bidi="fa-IR"/>
        </w:rPr>
        <w:t>در ثمره دوم نيز هرچند در بادی امر به نظر می</w:t>
      </w:r>
      <w:r w:rsidRPr="0038058E">
        <w:rPr>
          <w:rFonts w:cs="Abz-2 (Badr)" w:hint="cs"/>
          <w:color w:val="000000" w:themeColor="text1"/>
          <w:sz w:val="28"/>
          <w:szCs w:val="28"/>
          <w:rtl/>
          <w:lang w:bidi="fa-IR"/>
        </w:rPr>
        <w:softHyphen/>
        <w:t>رسد که ثمره مربوط به مقام ثبوت است، اما اين که در مقام تعليل برای عدم نفقه در صورت شرطيت تمکين گفته شده است: وجه آن عدم تحقق تمکين قولی و فعلی از جانب زوج</w:t>
      </w:r>
      <w:r>
        <w:rPr>
          <w:rFonts w:cs="Abz-2 (Badr)" w:hint="cs"/>
          <w:color w:val="000000" w:themeColor="text1"/>
          <w:sz w:val="28"/>
          <w:szCs w:val="28"/>
          <w:rtl/>
          <w:lang w:bidi="fa-IR"/>
        </w:rPr>
        <w:t>ه</w:t>
      </w:r>
      <w:r w:rsidRPr="0038058E">
        <w:rPr>
          <w:rFonts w:cs="Abz-2 (Badr)" w:hint="cs"/>
          <w:color w:val="000000" w:themeColor="text1"/>
          <w:sz w:val="28"/>
          <w:szCs w:val="28"/>
          <w:rtl/>
          <w:lang w:bidi="fa-IR"/>
        </w:rPr>
        <w:t xml:space="preserve"> است، </w:t>
      </w:r>
      <w:r w:rsidRPr="0038058E">
        <w:rPr>
          <w:rFonts w:cs="Abz-2 (Badr)" w:hint="cs"/>
          <w:color w:val="000000" w:themeColor="text1"/>
          <w:sz w:val="28"/>
          <w:szCs w:val="28"/>
          <w:rtl/>
          <w:lang w:bidi="fa-IR"/>
        </w:rPr>
        <w:lastRenderedPageBreak/>
        <w:t>روشن می</w:t>
      </w:r>
      <w:r w:rsidRPr="0038058E">
        <w:rPr>
          <w:rFonts w:cs="Abz-2 (Badr)" w:hint="cs"/>
          <w:color w:val="000000" w:themeColor="text1"/>
          <w:sz w:val="28"/>
          <w:szCs w:val="28"/>
          <w:rtl/>
          <w:lang w:bidi="fa-IR"/>
        </w:rPr>
        <w:softHyphen/>
        <w:t>سازد که اشکالی که در وجوب نفقه در اين فرض وجود دارد، اشکال اثباتی است، چون تمکين به معنای آمادگی زوجه برای استمتاع زوج از وی است و قول و فعل زوجه، اماراتی برای اين مطلب هستند، نه اين که خود تمکين محسوب شوند.</w:t>
      </w:r>
    </w:p>
    <w:p w14:paraId="05DE93AB"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bookmarkStart w:id="3" w:name="_Hlk210557613"/>
      <w:r>
        <w:rPr>
          <w:rFonts w:cs="Abz-2 (Badr)" w:hint="cs"/>
          <w:color w:val="000000" w:themeColor="text1"/>
          <w:sz w:val="28"/>
          <w:szCs w:val="28"/>
          <w:rtl/>
          <w:lang w:bidi="fa-IR"/>
        </w:rPr>
        <w:t>اما آنچه که صاحب جواهر فرموده است مبنی بر اين که در مواردی که نشوز محقق نشده و تمکين نيز صدق نمی</w:t>
      </w:r>
      <w:r>
        <w:rPr>
          <w:rFonts w:cs="Abz-2 (Badr)"/>
          <w:color w:val="000000" w:themeColor="text1"/>
          <w:sz w:val="28"/>
          <w:szCs w:val="28"/>
          <w:rtl/>
          <w:lang w:bidi="fa-IR"/>
        </w:rPr>
        <w:softHyphen/>
      </w:r>
      <w:r>
        <w:rPr>
          <w:rFonts w:cs="Abz-2 (Badr)" w:hint="cs"/>
          <w:color w:val="000000" w:themeColor="text1"/>
          <w:sz w:val="28"/>
          <w:szCs w:val="28"/>
          <w:rtl/>
          <w:lang w:bidi="fa-IR"/>
        </w:rPr>
        <w:t>کند ـ مثل صغيره يا زنی که در عادت ماهانه قرار دارد ـ نمی</w:t>
      </w:r>
      <w:r>
        <w:rPr>
          <w:rFonts w:cs="Abz-2 (Badr)"/>
          <w:color w:val="000000" w:themeColor="text1"/>
          <w:sz w:val="28"/>
          <w:szCs w:val="28"/>
          <w:rtl/>
          <w:lang w:bidi="fa-IR"/>
        </w:rPr>
        <w:softHyphen/>
      </w:r>
      <w:r>
        <w:rPr>
          <w:rFonts w:cs="Abz-2 (Badr)" w:hint="cs"/>
          <w:color w:val="000000" w:themeColor="text1"/>
          <w:sz w:val="28"/>
          <w:szCs w:val="28"/>
          <w:rtl/>
          <w:lang w:bidi="fa-IR"/>
        </w:rPr>
        <w:t>توان شرطيت تمکين را برای وجوب نفقه پذيرفت، هرچند مدعای صحيحی است، اما وجه آن اين نيست که زوجه در اين موارد در عدم تمکين عذر عقلی يا شرعی دارد، زيرا اگر تمکين را شرط وجوب نفقه دانستيم و پذيرفتيم که در اين موارد صدق می</w:t>
      </w:r>
      <w:r>
        <w:rPr>
          <w:rFonts w:cs="Abz-2 (Badr)"/>
          <w:color w:val="000000" w:themeColor="text1"/>
          <w:sz w:val="28"/>
          <w:szCs w:val="28"/>
          <w:rtl/>
          <w:lang w:bidi="fa-IR"/>
        </w:rPr>
        <w:softHyphen/>
      </w:r>
      <w:r>
        <w:rPr>
          <w:rFonts w:cs="Abz-2 (Badr)" w:hint="cs"/>
          <w:color w:val="000000" w:themeColor="text1"/>
          <w:sz w:val="28"/>
          <w:szCs w:val="28"/>
          <w:rtl/>
          <w:lang w:bidi="fa-IR"/>
        </w:rPr>
        <w:t>کند که زوجه تمکين نکرده است، بايد ملتزم به عدم وجوب نفقه زوجه در اين حالات گرديم و معذوريت عقلی يا شرعی زوجه برای تمکين، سبب سقوط شرطيت تمکين برای نفقه نخواهد بود بلکه حداکثر سبب می</w:t>
      </w:r>
      <w:r>
        <w:rPr>
          <w:rFonts w:cs="Abz-2 (Badr)"/>
          <w:color w:val="000000" w:themeColor="text1"/>
          <w:sz w:val="28"/>
          <w:szCs w:val="28"/>
          <w:rtl/>
          <w:lang w:bidi="fa-IR"/>
        </w:rPr>
        <w:softHyphen/>
      </w:r>
      <w:r>
        <w:rPr>
          <w:rFonts w:cs="Abz-2 (Badr)" w:hint="cs"/>
          <w:color w:val="000000" w:themeColor="text1"/>
          <w:sz w:val="28"/>
          <w:szCs w:val="28"/>
          <w:rtl/>
          <w:lang w:bidi="fa-IR"/>
        </w:rPr>
        <w:t>شود که حکم تکليفی متوجه وی نگردد، مگر اين که دليلی برای سقوط شرطيت تمکين برای وجوب نفقه در صورت عذر ارائه نماييم.</w:t>
      </w:r>
    </w:p>
    <w:p w14:paraId="46D3BC52"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در استدلال بر اين مدعا بايد بگوييم: نسبت بين نشوز و تمکين، عدم و ملکه است نه نسبت تضادّ، بدين معنا که نشوز در جايی صدق می</w:t>
      </w:r>
      <w:r>
        <w:rPr>
          <w:rFonts w:cs="Abz-2 (Badr)"/>
          <w:color w:val="000000" w:themeColor="text1"/>
          <w:sz w:val="28"/>
          <w:szCs w:val="28"/>
          <w:rtl/>
          <w:lang w:bidi="fa-IR"/>
        </w:rPr>
        <w:softHyphen/>
      </w:r>
      <w:r>
        <w:rPr>
          <w:rFonts w:cs="Abz-2 (Badr)" w:hint="cs"/>
          <w:color w:val="000000" w:themeColor="text1"/>
          <w:sz w:val="28"/>
          <w:szCs w:val="28"/>
          <w:rtl/>
          <w:lang w:bidi="fa-IR"/>
        </w:rPr>
        <w:t>کند که زوجه قابليت و شأنيت برای تمکين داشته باشد، وگرنه با وجود اين که تمکين نکرده است، ناشز نيز محسوب نمی</w:t>
      </w:r>
      <w:r>
        <w:rPr>
          <w:rFonts w:cs="Abz-2 (Badr)"/>
          <w:color w:val="000000" w:themeColor="text1"/>
          <w:sz w:val="28"/>
          <w:szCs w:val="28"/>
          <w:rtl/>
          <w:lang w:bidi="fa-IR"/>
        </w:rPr>
        <w:softHyphen/>
      </w:r>
      <w:r>
        <w:rPr>
          <w:rFonts w:cs="Abz-2 (Badr)" w:hint="cs"/>
          <w:color w:val="000000" w:themeColor="text1"/>
          <w:sz w:val="28"/>
          <w:szCs w:val="28"/>
          <w:rtl/>
          <w:lang w:bidi="fa-IR"/>
        </w:rPr>
        <w:t>گردد.</w:t>
      </w:r>
    </w:p>
    <w:p w14:paraId="43EC6E48"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 در نتيجه يا بايد بپذيريم که ادله وجوب نفقه اصلاً شامل حال زوجه</w:t>
      </w:r>
      <w:r>
        <w:rPr>
          <w:rFonts w:cs="Abz-2 (Badr)"/>
          <w:color w:val="000000" w:themeColor="text1"/>
          <w:sz w:val="28"/>
          <w:szCs w:val="28"/>
          <w:rtl/>
          <w:lang w:bidi="fa-IR"/>
        </w:rPr>
        <w:softHyphen/>
      </w:r>
      <w:r>
        <w:rPr>
          <w:rFonts w:cs="Abz-2 (Badr)" w:hint="cs"/>
          <w:color w:val="000000" w:themeColor="text1"/>
          <w:sz w:val="28"/>
          <w:szCs w:val="28"/>
          <w:rtl/>
          <w:lang w:bidi="fa-IR"/>
        </w:rPr>
        <w:t>ای که قابليت تمکين در وی وجود ندارد، نمی</w:t>
      </w:r>
      <w:r>
        <w:rPr>
          <w:rFonts w:cs="Abz-2 (Badr)"/>
          <w:color w:val="000000" w:themeColor="text1"/>
          <w:sz w:val="28"/>
          <w:szCs w:val="28"/>
          <w:rtl/>
          <w:lang w:bidi="fa-IR"/>
        </w:rPr>
        <w:softHyphen/>
      </w:r>
      <w:r>
        <w:rPr>
          <w:rFonts w:cs="Abz-2 (Badr)" w:hint="cs"/>
          <w:color w:val="000000" w:themeColor="text1"/>
          <w:sz w:val="28"/>
          <w:szCs w:val="28"/>
          <w:rtl/>
          <w:lang w:bidi="fa-IR"/>
        </w:rPr>
        <w:t>شود، يا اين که شرطيت تمکين را مربوط به زوجه</w:t>
      </w:r>
      <w:r>
        <w:rPr>
          <w:rFonts w:cs="Abz-2 (Badr)"/>
          <w:color w:val="000000" w:themeColor="text1"/>
          <w:sz w:val="28"/>
          <w:szCs w:val="28"/>
          <w:rtl/>
          <w:lang w:bidi="fa-IR"/>
        </w:rPr>
        <w:softHyphen/>
      </w:r>
      <w:r>
        <w:rPr>
          <w:rFonts w:cs="Abz-2 (Badr)" w:hint="cs"/>
          <w:color w:val="000000" w:themeColor="text1"/>
          <w:sz w:val="28"/>
          <w:szCs w:val="28"/>
          <w:rtl/>
          <w:lang w:bidi="fa-IR"/>
        </w:rPr>
        <w:t>ای بدانيم که قابليت تمکين در وی وجود دارد که حق نيز همين است، زيرا حداکثر چيزی که می</w:t>
      </w:r>
      <w:r>
        <w:rPr>
          <w:rFonts w:cs="Abz-2 (Badr)"/>
          <w:color w:val="000000" w:themeColor="text1"/>
          <w:sz w:val="28"/>
          <w:szCs w:val="28"/>
          <w:rtl/>
          <w:lang w:bidi="fa-IR"/>
        </w:rPr>
        <w:softHyphen/>
      </w:r>
      <w:r>
        <w:rPr>
          <w:rFonts w:cs="Abz-2 (Badr)" w:hint="cs"/>
          <w:color w:val="000000" w:themeColor="text1"/>
          <w:sz w:val="28"/>
          <w:szCs w:val="28"/>
          <w:rtl/>
          <w:lang w:bidi="fa-IR"/>
        </w:rPr>
        <w:t>توان برای شرطيت تمکين برای وجوب نفقه ادعا نمود اين است که نفقه زوجه در برابر تمکين وی از زوج قرار دارد، بدين معنا که شارع در برابر اين که به زوج امر کرده است که نفقه زوجه را بپردازد، به زوجه نيز امر به تمکين کرده است، و معلوم است که اگر زوجه قابليت برای تمکين نداشته باشد، نمی</w:t>
      </w:r>
      <w:r>
        <w:rPr>
          <w:rFonts w:cs="Abz-2 (Badr)"/>
          <w:color w:val="000000" w:themeColor="text1"/>
          <w:sz w:val="28"/>
          <w:szCs w:val="28"/>
          <w:rtl/>
          <w:lang w:bidi="fa-IR"/>
        </w:rPr>
        <w:softHyphen/>
      </w:r>
      <w:r>
        <w:rPr>
          <w:rFonts w:cs="Abz-2 (Badr)" w:hint="cs"/>
          <w:color w:val="000000" w:themeColor="text1"/>
          <w:sz w:val="28"/>
          <w:szCs w:val="28"/>
          <w:rtl/>
          <w:lang w:bidi="fa-IR"/>
        </w:rPr>
        <w:t>تواند مخاطب امر به تمکين از جانب شارع واقع شود.</w:t>
      </w:r>
    </w:p>
    <w:p w14:paraId="604F877D"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اگر گفته شود: می</w:t>
      </w:r>
      <w:r>
        <w:rPr>
          <w:rFonts w:cs="Abz-2 (Badr)"/>
          <w:color w:val="000000" w:themeColor="text1"/>
          <w:sz w:val="28"/>
          <w:szCs w:val="28"/>
          <w:rtl/>
          <w:lang w:bidi="fa-IR"/>
        </w:rPr>
        <w:softHyphen/>
      </w:r>
      <w:r>
        <w:rPr>
          <w:rFonts w:cs="Abz-2 (Badr)" w:hint="cs"/>
          <w:color w:val="000000" w:themeColor="text1"/>
          <w:sz w:val="28"/>
          <w:szCs w:val="28"/>
          <w:rtl/>
          <w:lang w:bidi="fa-IR"/>
        </w:rPr>
        <w:t>توان به شق اول ملتزم شد و ادعا کرد که ادله وجوب نفقه، فقط شامل حال زوجاتی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گردد که </w:t>
      </w:r>
      <w:r>
        <w:rPr>
          <w:rFonts w:cs="Abz-2 (Badr)" w:hint="cs"/>
          <w:color w:val="000000" w:themeColor="text1"/>
          <w:sz w:val="28"/>
          <w:szCs w:val="28"/>
          <w:rtl/>
          <w:lang w:bidi="fa-IR"/>
        </w:rPr>
        <w:lastRenderedPageBreak/>
        <w:t>تمکين از زوج داشته باشند.</w:t>
      </w:r>
    </w:p>
    <w:p w14:paraId="660D9D40"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پاسخ اين است که دليل وجوب تمکين بر زوجه، حداکثر می</w:t>
      </w:r>
      <w:r>
        <w:rPr>
          <w:rFonts w:cs="Abz-2 (Badr)"/>
          <w:color w:val="000000" w:themeColor="text1"/>
          <w:sz w:val="28"/>
          <w:szCs w:val="28"/>
          <w:rtl/>
          <w:lang w:bidi="fa-IR"/>
        </w:rPr>
        <w:softHyphen/>
      </w:r>
      <w:r>
        <w:rPr>
          <w:rFonts w:cs="Abz-2 (Badr)" w:hint="cs"/>
          <w:color w:val="000000" w:themeColor="text1"/>
          <w:sz w:val="28"/>
          <w:szCs w:val="28"/>
          <w:rtl/>
          <w:lang w:bidi="fa-IR"/>
        </w:rPr>
        <w:t>تواند سبب تخصيص دليل وجوب نفقه گردد و نمی</w:t>
      </w:r>
      <w:r>
        <w:rPr>
          <w:rFonts w:cs="Abz-2 (Badr)"/>
          <w:color w:val="000000" w:themeColor="text1"/>
          <w:sz w:val="28"/>
          <w:szCs w:val="28"/>
          <w:rtl/>
          <w:lang w:bidi="fa-IR"/>
        </w:rPr>
        <w:softHyphen/>
      </w:r>
      <w:r>
        <w:rPr>
          <w:rFonts w:cs="Abz-2 (Badr)" w:hint="cs"/>
          <w:color w:val="000000" w:themeColor="text1"/>
          <w:sz w:val="28"/>
          <w:szCs w:val="28"/>
          <w:rtl/>
          <w:lang w:bidi="fa-IR"/>
        </w:rPr>
        <w:t>تواند موضوع وجوب نفقه را تعيين نمايد به نحوی که بر خلاف اطلاق آن دليل، ادعا شود که موضوع وجوب نفقه، زوجه</w:t>
      </w:r>
      <w:r>
        <w:rPr>
          <w:rFonts w:cs="Abz-2 (Badr)"/>
          <w:color w:val="000000" w:themeColor="text1"/>
          <w:sz w:val="28"/>
          <w:szCs w:val="28"/>
          <w:rtl/>
          <w:lang w:bidi="fa-IR"/>
        </w:rPr>
        <w:softHyphen/>
      </w:r>
      <w:r>
        <w:rPr>
          <w:rFonts w:cs="Abz-2 (Badr)" w:hint="cs"/>
          <w:color w:val="000000" w:themeColor="text1"/>
          <w:sz w:val="28"/>
          <w:szCs w:val="28"/>
          <w:rtl/>
          <w:lang w:bidi="fa-IR"/>
        </w:rPr>
        <w:t>ای است که قدرت بر تمکين را داراست. مثلاً چنانچه در يک دليل گفته شود: «أکرم العلماء» و در دليل ديگر بيان شود: «لا تکرم النحاة»، حداکثر چيزی که می</w:t>
      </w:r>
      <w:r>
        <w:rPr>
          <w:rFonts w:cs="Abz-2 (Badr)"/>
          <w:color w:val="000000" w:themeColor="text1"/>
          <w:sz w:val="28"/>
          <w:szCs w:val="28"/>
          <w:rtl/>
          <w:lang w:bidi="fa-IR"/>
        </w:rPr>
        <w:softHyphen/>
      </w:r>
      <w:r>
        <w:rPr>
          <w:rFonts w:cs="Abz-2 (Badr)" w:hint="cs"/>
          <w:color w:val="000000" w:themeColor="text1"/>
          <w:sz w:val="28"/>
          <w:szCs w:val="28"/>
          <w:rtl/>
          <w:lang w:bidi="fa-IR"/>
        </w:rPr>
        <w:t>توان ادعا کرد اين است که دليل دوم، سبب تخصيص دليل اول به غير نحوی شده است، اما اين مدعا که دليل دوم سبب شده است که نحوی تخصّصاً از تحت دليل اول خارج گردد، ادعای بدون وجه و غير قابل قبولی است.</w:t>
      </w:r>
    </w:p>
    <w:bookmarkEnd w:id="2"/>
    <w:p w14:paraId="33568E19" w14:textId="77777777" w:rsidR="001437E8" w:rsidRDefault="001437E8" w:rsidP="001437E8">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دليل اين مطلب نيز اين است که در موارد شک در اين که دليلی سبب اخراج حکمی يک فرد از تحت دليل دوم شده است يا اين که آن فرد را موضوعاً از تحت دليل دوم خارج کرده است، مقتضای اصل، تخصيص است که وجه اين مطلب را جلسه آينده مطرح خواهيم کرد ان شاء الله.</w:t>
      </w:r>
    </w:p>
    <w:p w14:paraId="1A961380" w14:textId="77777777" w:rsidR="001437E8" w:rsidRDefault="001437E8" w:rsidP="001437E8">
      <w:pPr>
        <w:rPr>
          <w:rFonts w:cs="Abz-2 (Badr)"/>
          <w:color w:val="000000" w:themeColor="text1"/>
          <w:sz w:val="28"/>
          <w:szCs w:val="28"/>
          <w:rtl/>
          <w:lang w:bidi="fa-IR"/>
        </w:rPr>
      </w:pPr>
      <w:r>
        <w:rPr>
          <w:rFonts w:cs="Abz-2 (Badr)"/>
          <w:color w:val="000000" w:themeColor="text1"/>
          <w:sz w:val="28"/>
          <w:szCs w:val="28"/>
          <w:rtl/>
          <w:lang w:bidi="fa-IR"/>
        </w:rPr>
        <w:br w:type="page"/>
      </w:r>
    </w:p>
    <w:p w14:paraId="0A76D4BE"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736CC6">
        <w:rPr>
          <w:rFonts w:cs="Abz-2 (Badr)"/>
          <w:color w:val="000000" w:themeColor="text1"/>
          <w:sz w:val="28"/>
          <w:szCs w:val="28"/>
          <w:rtl/>
        </w:rPr>
        <w:lastRenderedPageBreak/>
        <w:t>قلنا</w:t>
      </w:r>
      <w:r>
        <w:rPr>
          <w:rFonts w:cs="Abz-2 (Badr)" w:hint="cs"/>
          <w:color w:val="000000" w:themeColor="text1"/>
          <w:sz w:val="28"/>
          <w:szCs w:val="28"/>
          <w:rtl/>
        </w:rPr>
        <w:t xml:space="preserve"> في الجلسة السابقة:</w:t>
      </w:r>
      <w:r w:rsidRPr="00736CC6">
        <w:rPr>
          <w:rFonts w:cs="Abz-2 (Badr)"/>
          <w:color w:val="000000" w:themeColor="text1"/>
          <w:sz w:val="28"/>
          <w:szCs w:val="28"/>
          <w:rtl/>
        </w:rPr>
        <w:t xml:space="preserve"> إنّ الإشكال الوارد على مدّعى صاحب الجواهر هو أنّ فيه خلطاً بين مقام</w:t>
      </w:r>
      <w:r>
        <w:rPr>
          <w:rFonts w:cs="Abz-2 (Badr)" w:hint="cs"/>
          <w:color w:val="000000" w:themeColor="text1"/>
          <w:sz w:val="28"/>
          <w:szCs w:val="28"/>
          <w:rtl/>
        </w:rPr>
        <w:t>ي</w:t>
      </w:r>
      <w:r w:rsidRPr="00736CC6">
        <w:rPr>
          <w:rFonts w:cs="Abz-2 (Badr)"/>
          <w:color w:val="000000" w:themeColor="text1"/>
          <w:sz w:val="28"/>
          <w:szCs w:val="28"/>
          <w:rtl/>
        </w:rPr>
        <w:t xml:space="preserve"> الثبوت </w:t>
      </w:r>
      <w:r>
        <w:rPr>
          <w:rFonts w:cs="Abz-2 (Badr)" w:hint="cs"/>
          <w:color w:val="000000" w:themeColor="text1"/>
          <w:sz w:val="28"/>
          <w:szCs w:val="28"/>
          <w:rtl/>
        </w:rPr>
        <w:t>و</w:t>
      </w:r>
      <w:r w:rsidRPr="00736CC6">
        <w:rPr>
          <w:rFonts w:cs="Abz-2 (Badr)"/>
          <w:color w:val="000000" w:themeColor="text1"/>
          <w:sz w:val="28"/>
          <w:szCs w:val="28"/>
          <w:rtl/>
        </w:rPr>
        <w:t xml:space="preserve">الإثبات، </w:t>
      </w:r>
      <w:r>
        <w:rPr>
          <w:rFonts w:cs="Abz-2 (Badr)" w:hint="cs"/>
          <w:color w:val="000000" w:themeColor="text1"/>
          <w:sz w:val="28"/>
          <w:szCs w:val="28"/>
          <w:rtl/>
        </w:rPr>
        <w:t>فإ</w:t>
      </w:r>
      <w:r w:rsidRPr="00736CC6">
        <w:rPr>
          <w:rFonts w:cs="Abz-2 (Badr)"/>
          <w:color w:val="000000" w:themeColor="text1"/>
          <w:sz w:val="28"/>
          <w:szCs w:val="28"/>
          <w:rtl/>
        </w:rPr>
        <w:t>نّ محلّ البحث في هذا المقام هو شرطية التمكين أو مانعي</w:t>
      </w:r>
      <w:r>
        <w:rPr>
          <w:rFonts w:cs="Abz-2 (Badr)" w:hint="cs"/>
          <w:color w:val="000000" w:themeColor="text1"/>
          <w:sz w:val="28"/>
          <w:szCs w:val="28"/>
          <w:rtl/>
        </w:rPr>
        <w:t>ّ</w:t>
      </w:r>
      <w:r w:rsidRPr="00736CC6">
        <w:rPr>
          <w:rFonts w:cs="Abz-2 (Badr)"/>
          <w:color w:val="000000" w:themeColor="text1"/>
          <w:sz w:val="28"/>
          <w:szCs w:val="28"/>
          <w:rtl/>
        </w:rPr>
        <w:t>ة النشوز في مقام الإثبات لا في مقام الثبوت</w:t>
      </w:r>
      <w:r>
        <w:rPr>
          <w:rFonts w:cs="Abz-2 (Badr)" w:hint="cs"/>
          <w:color w:val="000000" w:themeColor="text1"/>
          <w:sz w:val="28"/>
          <w:szCs w:val="28"/>
          <w:rtl/>
        </w:rPr>
        <w:t>.</w:t>
      </w:r>
    </w:p>
    <w:p w14:paraId="0BCC3C31" w14:textId="77777777" w:rsidR="001437E8" w:rsidRPr="0038058E" w:rsidRDefault="001437E8" w:rsidP="001437E8">
      <w:pPr>
        <w:widowControl w:val="0"/>
        <w:bidi/>
        <w:spacing w:after="0" w:line="254" w:lineRule="auto"/>
        <w:ind w:firstLine="284"/>
        <w:jc w:val="both"/>
        <w:rPr>
          <w:rFonts w:cs="Abz-2 (Badr)"/>
          <w:color w:val="0070C0"/>
          <w:sz w:val="28"/>
          <w:szCs w:val="28"/>
          <w:lang w:bidi="fa-IR"/>
        </w:rPr>
      </w:pPr>
      <w:bookmarkStart w:id="4" w:name="_Hlk210639517"/>
      <w:r w:rsidRPr="00736CC6">
        <w:rPr>
          <w:rFonts w:cs="Abz-2 (Badr)"/>
          <w:color w:val="000000" w:themeColor="text1"/>
          <w:sz w:val="28"/>
          <w:szCs w:val="28"/>
          <w:rtl/>
        </w:rPr>
        <w:t>وما يمكن أن يكون مؤيّداً لمدّعانا في كون النزاع إثباتيّاً، هو الثمرات التي رتّبها صاحب المدارك على هذه المسألة حيث قال في هذا الخصوص</w:t>
      </w:r>
      <w:r>
        <w:rPr>
          <w:rFonts w:cs="Abz-2 (Badr)" w:hint="cs"/>
          <w:color w:val="000000" w:themeColor="text1"/>
          <w:sz w:val="28"/>
          <w:szCs w:val="28"/>
          <w:rtl/>
        </w:rPr>
        <w:t xml:space="preserve">: </w:t>
      </w:r>
      <w:r w:rsidRPr="0038058E">
        <w:rPr>
          <w:rFonts w:cs="Abz-2 (Badr)" w:hint="cs"/>
          <w:color w:val="0070C0"/>
          <w:sz w:val="28"/>
          <w:szCs w:val="28"/>
          <w:rtl/>
          <w:lang w:bidi="fa-IR"/>
        </w:rPr>
        <w:t>«</w:t>
      </w:r>
      <w:r w:rsidRPr="0038058E">
        <w:rPr>
          <w:rFonts w:cs="Abz-2 (Badr)" w:hint="cs"/>
          <w:color w:val="0070C0"/>
          <w:sz w:val="28"/>
          <w:szCs w:val="28"/>
          <w:rtl/>
          <w:lang w:bidi="ar"/>
        </w:rPr>
        <w:t>تظهر فائدة الخلاف في مواضع:</w:t>
      </w:r>
    </w:p>
    <w:p w14:paraId="352DDBFF" w14:textId="77777777" w:rsidR="001437E8" w:rsidRPr="0038058E" w:rsidRDefault="001437E8" w:rsidP="001437E8">
      <w:pPr>
        <w:widowControl w:val="0"/>
        <w:bidi/>
        <w:spacing w:after="0" w:line="254" w:lineRule="auto"/>
        <w:ind w:firstLine="284"/>
        <w:jc w:val="both"/>
        <w:rPr>
          <w:rFonts w:cs="Abz-2 (Badr)"/>
          <w:color w:val="0070C0"/>
          <w:sz w:val="28"/>
          <w:szCs w:val="28"/>
          <w:rtl/>
          <w:lang w:bidi="fa-IR"/>
        </w:rPr>
      </w:pPr>
      <w:r w:rsidRPr="0038058E">
        <w:rPr>
          <w:rFonts w:cs="Abz-2 (Badr)" w:hint="cs"/>
          <w:color w:val="0070C0"/>
          <w:sz w:val="28"/>
          <w:szCs w:val="28"/>
          <w:rtl/>
          <w:lang w:bidi="ar"/>
        </w:rPr>
        <w:t>منها: ما لو اختلفا في التمكين بأن ادّعته المرأة وأنكره الزوج، فإن قلنا: إنّ‌ التمكين شرط أو سبب، فالقول قول الزوج وعلى المرأة البيّنة، لأنّها تدّعي ما يخالف الأصل، وإن قلنا: إنّها تجب بالعقد و النشوز مانع، كان القول قولها، لأنّ الأصل استمرار ما ثبت بالعقد وهو يدّعي السقوط بالنشوز، فعليه البيّنة.</w:t>
      </w:r>
    </w:p>
    <w:p w14:paraId="3B5DA851" w14:textId="77777777" w:rsidR="001437E8" w:rsidRPr="0038058E" w:rsidRDefault="001437E8" w:rsidP="001437E8">
      <w:pPr>
        <w:widowControl w:val="0"/>
        <w:bidi/>
        <w:spacing w:after="0" w:line="254" w:lineRule="auto"/>
        <w:ind w:firstLine="284"/>
        <w:jc w:val="both"/>
        <w:rPr>
          <w:rFonts w:cs="Abz-2 (Badr)"/>
          <w:color w:val="000000" w:themeColor="text1"/>
          <w:sz w:val="28"/>
          <w:szCs w:val="28"/>
          <w:lang w:bidi="fa-IR"/>
        </w:rPr>
      </w:pPr>
      <w:r w:rsidRPr="0038058E">
        <w:rPr>
          <w:rFonts w:cs="Abz-2 (Badr)" w:hint="cs"/>
          <w:color w:val="0070C0"/>
          <w:sz w:val="28"/>
          <w:szCs w:val="28"/>
          <w:rtl/>
          <w:lang w:bidi="ar"/>
        </w:rPr>
        <w:t>ومنها: ما لو لم يطالبها الزوج بالزفاف ولم تمتنع منه ولا عرضت نفسها عليه ومضت على ذلك مدّة، فإن اعتبرنا التمكين فلا نفقة لها، لأنّه لم يحصل من جانبها تمكين قولي‌ ولا فعلي‌ كما هو المقدّر لها، وإن قلنا: إنّها تجب بالعقد وتسقط بالنشوز، وجب النفقة، إذ المفروض أنّه لم يقع من جانبها امتناع يتحقّق به النشوز.»</w:t>
      </w:r>
      <w:r w:rsidRPr="0038058E">
        <w:rPr>
          <w:rFonts w:cs="Abz-2 (Badr)"/>
          <w:color w:val="000000" w:themeColor="text1"/>
          <w:sz w:val="28"/>
          <w:szCs w:val="28"/>
          <w:vertAlign w:val="superscript"/>
          <w:rtl/>
          <w:lang w:bidi="ar"/>
        </w:rPr>
        <w:footnoteReference w:id="2"/>
      </w:r>
    </w:p>
    <w:p w14:paraId="130F0DBC"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E258FB">
        <w:rPr>
          <w:rFonts w:cs="Abz-2 (Badr)"/>
          <w:color w:val="000000" w:themeColor="text1"/>
          <w:sz w:val="28"/>
          <w:szCs w:val="28"/>
          <w:rtl/>
        </w:rPr>
        <w:t>وجه التأييد أنّه في الثمرة الأُولى يظهر بوضوح أنّ النزاع مرتبط بمقام الإثبات، ولأجل ذلك طرح البحث في البيّنة واليمين</w:t>
      </w:r>
      <w:r>
        <w:rPr>
          <w:rFonts w:cs="Abz-2 (Badr)" w:hint="cs"/>
          <w:color w:val="000000" w:themeColor="text1"/>
          <w:sz w:val="28"/>
          <w:szCs w:val="28"/>
          <w:rtl/>
        </w:rPr>
        <w:t>.</w:t>
      </w:r>
    </w:p>
    <w:p w14:paraId="438EA4C3"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E258FB">
        <w:rPr>
          <w:rFonts w:cs="Abz-2 (Badr)"/>
          <w:color w:val="000000" w:themeColor="text1"/>
          <w:sz w:val="28"/>
          <w:szCs w:val="28"/>
          <w:rtl/>
        </w:rPr>
        <w:t xml:space="preserve">وأمّا في الثمرة الثانية، فمع أنّه قد يتوهّم في بادئ النظر أنّها متعلّقة بمقام الثبوت، إلّا أنّ التعليل لعدم وجوب النفقة على تقدير اشتراط التمكين ببيان أنّ التمكين القولي والفعلي لم يتحقّق من قبلها، يوضّح أنّ الإشكال في وجوب النفقة في هذا الفرض إشكال إثباتي؛ لأنّ التمكين </w:t>
      </w:r>
      <w:r>
        <w:rPr>
          <w:rFonts w:cs="Abz-2 (Badr)" w:hint="cs"/>
          <w:color w:val="000000" w:themeColor="text1"/>
          <w:sz w:val="28"/>
          <w:szCs w:val="28"/>
          <w:rtl/>
        </w:rPr>
        <w:t>في ال</w:t>
      </w:r>
      <w:r w:rsidRPr="00E258FB">
        <w:rPr>
          <w:rFonts w:cs="Abz-2 (Badr)"/>
          <w:color w:val="000000" w:themeColor="text1"/>
          <w:sz w:val="28"/>
          <w:szCs w:val="28"/>
          <w:rtl/>
        </w:rPr>
        <w:t>حقيقته استعداد الزوجة لتمكين الزوج من الاستمتاع بها، وأمّا قولها وفعلها فليسا نفس التمكين، بل هما أمارتان ودليلان عليه</w:t>
      </w:r>
      <w:r>
        <w:rPr>
          <w:rFonts w:cs="Abz-2 (Badr)" w:hint="cs"/>
          <w:color w:val="000000" w:themeColor="text1"/>
          <w:sz w:val="28"/>
          <w:szCs w:val="28"/>
          <w:rtl/>
        </w:rPr>
        <w:t>.</w:t>
      </w:r>
    </w:p>
    <w:p w14:paraId="5253A0E9"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E258FB">
        <w:rPr>
          <w:rFonts w:cs="Abz-2 (Badr)"/>
          <w:color w:val="000000" w:themeColor="text1"/>
          <w:sz w:val="28"/>
          <w:szCs w:val="28"/>
          <w:rtl/>
        </w:rPr>
        <w:t xml:space="preserve">أمّا ما ذكره صاحب الجواهر من أنّه في الموارد التي لا يتحقّق فيها النشوز ولا يصدق فيها التمكين ـ كالصغيرة أو المرأة الحائض ـ لا يمكن الالتزام باشتراط التمكين في وجوب النفقة، فهو وإن كان في نفسه صحيحاً، إلّا أنّ وجهه ليس كون الزوجة في هذه الموارد معذورة عقلاً أو شرعاً عن عدم التمكين؛ إذ لو قلنا باشتراط التمكين في وجوب النفقة وسلّمنا بأنّه </w:t>
      </w:r>
      <w:r w:rsidRPr="00E258FB">
        <w:rPr>
          <w:rFonts w:cs="Abz-2 (Badr)"/>
          <w:color w:val="000000" w:themeColor="text1"/>
          <w:sz w:val="28"/>
          <w:szCs w:val="28"/>
          <w:rtl/>
        </w:rPr>
        <w:lastRenderedPageBreak/>
        <w:t xml:space="preserve">في هذه الموارد يصدق أنّ الزوجة لم تمكّن، </w:t>
      </w:r>
      <w:r>
        <w:rPr>
          <w:rFonts w:cs="Abz-2 (Badr)" w:hint="cs"/>
          <w:color w:val="000000" w:themeColor="text1"/>
          <w:sz w:val="28"/>
          <w:szCs w:val="28"/>
          <w:rtl/>
        </w:rPr>
        <w:t>لزم</w:t>
      </w:r>
      <w:r w:rsidRPr="00E258FB">
        <w:rPr>
          <w:rFonts w:cs="Abz-2 (Badr)"/>
          <w:color w:val="000000" w:themeColor="text1"/>
          <w:sz w:val="28"/>
          <w:szCs w:val="28"/>
          <w:rtl/>
        </w:rPr>
        <w:t xml:space="preserve"> </w:t>
      </w:r>
      <w:r>
        <w:rPr>
          <w:rFonts w:cs="Abz-2 (Badr)" w:hint="cs"/>
          <w:color w:val="000000" w:themeColor="text1"/>
          <w:sz w:val="28"/>
          <w:szCs w:val="28"/>
          <w:rtl/>
        </w:rPr>
        <w:t>القول</w:t>
      </w:r>
      <w:r w:rsidRPr="00E258FB">
        <w:rPr>
          <w:rFonts w:cs="Abz-2 (Badr)"/>
          <w:color w:val="000000" w:themeColor="text1"/>
          <w:sz w:val="28"/>
          <w:szCs w:val="28"/>
          <w:rtl/>
        </w:rPr>
        <w:t xml:space="preserve"> بعدم وجوب النفقة </w:t>
      </w:r>
      <w:r>
        <w:rPr>
          <w:rFonts w:cs="Abz-2 (Badr)" w:hint="cs"/>
          <w:color w:val="000000" w:themeColor="text1"/>
          <w:sz w:val="28"/>
          <w:szCs w:val="28"/>
          <w:rtl/>
        </w:rPr>
        <w:t>علی الزوج</w:t>
      </w:r>
      <w:r w:rsidRPr="00E258FB">
        <w:rPr>
          <w:rFonts w:cs="Abz-2 (Badr)"/>
          <w:color w:val="000000" w:themeColor="text1"/>
          <w:sz w:val="28"/>
          <w:szCs w:val="28"/>
          <w:rtl/>
        </w:rPr>
        <w:t xml:space="preserve"> في هذه الحالات، ولا يكون العذر العقلي أو الشرعي </w:t>
      </w:r>
      <w:r>
        <w:rPr>
          <w:rFonts w:cs="Abz-2 (Badr)" w:hint="cs"/>
          <w:color w:val="000000" w:themeColor="text1"/>
          <w:sz w:val="28"/>
          <w:szCs w:val="28"/>
          <w:rtl/>
        </w:rPr>
        <w:t xml:space="preserve">للزوجة </w:t>
      </w:r>
      <w:r w:rsidRPr="00E258FB">
        <w:rPr>
          <w:rFonts w:cs="Abz-2 (Badr)"/>
          <w:color w:val="000000" w:themeColor="text1"/>
          <w:sz w:val="28"/>
          <w:szCs w:val="28"/>
          <w:rtl/>
        </w:rPr>
        <w:t xml:space="preserve">رافعاً لهذا الشرط، بل غايته أن لا يتوجّه إليها الحكم التكليفي. </w:t>
      </w:r>
      <w:r>
        <w:rPr>
          <w:rFonts w:cs="Abz-2 (Badr)" w:hint="cs"/>
          <w:color w:val="000000" w:themeColor="text1"/>
          <w:sz w:val="28"/>
          <w:szCs w:val="28"/>
          <w:rtl/>
        </w:rPr>
        <w:t>اللهمّ إذا</w:t>
      </w:r>
      <w:r w:rsidRPr="00E258FB">
        <w:rPr>
          <w:rFonts w:cs="Abz-2 (Badr)"/>
          <w:color w:val="000000" w:themeColor="text1"/>
          <w:sz w:val="28"/>
          <w:szCs w:val="28"/>
          <w:rtl/>
        </w:rPr>
        <w:t xml:space="preserve"> قام دليل على سقوط شرطي</w:t>
      </w:r>
      <w:r>
        <w:rPr>
          <w:rFonts w:cs="Abz-2 (Badr)" w:hint="cs"/>
          <w:color w:val="000000" w:themeColor="text1"/>
          <w:sz w:val="28"/>
          <w:szCs w:val="28"/>
          <w:rtl/>
        </w:rPr>
        <w:t>ّ</w:t>
      </w:r>
      <w:r w:rsidRPr="00E258FB">
        <w:rPr>
          <w:rFonts w:cs="Abz-2 (Badr)"/>
          <w:color w:val="000000" w:themeColor="text1"/>
          <w:sz w:val="28"/>
          <w:szCs w:val="28"/>
          <w:rtl/>
        </w:rPr>
        <w:t>ة التمكين لوجوب النفقة عند وجود العذر</w:t>
      </w:r>
      <w:r>
        <w:rPr>
          <w:rFonts w:cs="Abz-2 (Badr)" w:hint="cs"/>
          <w:color w:val="000000" w:themeColor="text1"/>
          <w:sz w:val="28"/>
          <w:szCs w:val="28"/>
          <w:rtl/>
        </w:rPr>
        <w:t>.</w:t>
      </w:r>
    </w:p>
    <w:p w14:paraId="6D50DCD7" w14:textId="77777777" w:rsidR="001437E8" w:rsidRPr="00E258FB" w:rsidRDefault="001437E8" w:rsidP="001437E8">
      <w:pPr>
        <w:widowControl w:val="0"/>
        <w:bidi/>
        <w:spacing w:after="0" w:line="254" w:lineRule="auto"/>
        <w:ind w:firstLine="284"/>
        <w:jc w:val="both"/>
        <w:rPr>
          <w:rFonts w:cs="Abz-2 (Badr)"/>
          <w:color w:val="000000" w:themeColor="text1"/>
          <w:sz w:val="28"/>
          <w:szCs w:val="28"/>
        </w:rPr>
      </w:pPr>
      <w:r w:rsidRPr="00E258FB">
        <w:rPr>
          <w:rFonts w:cs="Abz-2 (Badr)"/>
          <w:color w:val="000000" w:themeColor="text1"/>
          <w:sz w:val="28"/>
          <w:szCs w:val="28"/>
          <w:rtl/>
        </w:rPr>
        <w:t>فينبغي أن يقال</w:t>
      </w:r>
      <w:r>
        <w:rPr>
          <w:rFonts w:cs="Abz-2 (Badr)" w:hint="cs"/>
          <w:color w:val="000000" w:themeColor="text1"/>
          <w:sz w:val="28"/>
          <w:szCs w:val="28"/>
          <w:rtl/>
        </w:rPr>
        <w:t xml:space="preserve"> </w:t>
      </w:r>
      <w:r w:rsidRPr="00E258FB">
        <w:rPr>
          <w:rFonts w:cs="Abz-2 (Badr)"/>
          <w:color w:val="000000" w:themeColor="text1"/>
          <w:sz w:val="28"/>
          <w:szCs w:val="28"/>
          <w:rtl/>
        </w:rPr>
        <w:t>في الاستدلال على هذا المدّعى: إنّ النسبة بين التمكين</w:t>
      </w:r>
      <w:r>
        <w:rPr>
          <w:rFonts w:cs="Abz-2 (Badr)" w:hint="cs"/>
          <w:color w:val="000000" w:themeColor="text1"/>
          <w:sz w:val="28"/>
          <w:szCs w:val="28"/>
          <w:rtl/>
        </w:rPr>
        <w:t xml:space="preserve"> والنشوز</w:t>
      </w:r>
      <w:r w:rsidRPr="00E258FB">
        <w:rPr>
          <w:rFonts w:cs="Abz-2 (Badr)"/>
          <w:color w:val="000000" w:themeColor="text1"/>
          <w:sz w:val="28"/>
          <w:szCs w:val="28"/>
          <w:rtl/>
        </w:rPr>
        <w:t xml:space="preserve"> هي نسبة الملكة </w:t>
      </w:r>
      <w:r>
        <w:rPr>
          <w:rFonts w:cs="Abz-2 (Badr)" w:hint="cs"/>
          <w:color w:val="000000" w:themeColor="text1"/>
          <w:sz w:val="28"/>
          <w:szCs w:val="28"/>
          <w:rtl/>
        </w:rPr>
        <w:t xml:space="preserve">وعدمها </w:t>
      </w:r>
      <w:r w:rsidRPr="00E258FB">
        <w:rPr>
          <w:rFonts w:cs="Abz-2 (Badr)"/>
          <w:color w:val="000000" w:themeColor="text1"/>
          <w:sz w:val="28"/>
          <w:szCs w:val="28"/>
          <w:rtl/>
        </w:rPr>
        <w:t>لا نسبة التضادّ؛ بمعنى أنّ النشوز إنّما يصدق في مورد تكون الزوجة فيه ذات قابليّة وشأنية للتمكين، وإلّا فمع عدم تحقّق التمكين منها لا تعد ناشز</w:t>
      </w:r>
      <w:r>
        <w:rPr>
          <w:rFonts w:cs="Abz-2 (Badr)" w:hint="cs"/>
          <w:color w:val="000000" w:themeColor="text1"/>
          <w:sz w:val="28"/>
          <w:szCs w:val="28"/>
          <w:rtl/>
        </w:rPr>
        <w:t>ة.</w:t>
      </w:r>
    </w:p>
    <w:p w14:paraId="523507E9"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E258FB">
        <w:rPr>
          <w:rFonts w:cs="Abz-2 (Badr)"/>
          <w:color w:val="000000" w:themeColor="text1"/>
          <w:sz w:val="28"/>
          <w:szCs w:val="28"/>
          <w:rtl/>
        </w:rPr>
        <w:t>وعلى هذا الأساس ينبغي إمّا الالتزام بأنّ أدلّة وجوب النفقة لا تشمل الزوجة التي لا قابليّة لها على التمكين أصلاً، أو القول بأنّ اشتراط التمكين يختصّ بالزوجة التي لها قابليّة للتمكين، وهو الصحيح؛ إذ غاية ما يمكن ادّعاؤه في شرطي</w:t>
      </w:r>
      <w:r>
        <w:rPr>
          <w:rFonts w:cs="Abz-2 (Badr)" w:hint="cs"/>
          <w:color w:val="000000" w:themeColor="text1"/>
          <w:sz w:val="28"/>
          <w:szCs w:val="28"/>
          <w:rtl/>
        </w:rPr>
        <w:t>ّ</w:t>
      </w:r>
      <w:r w:rsidRPr="00E258FB">
        <w:rPr>
          <w:rFonts w:cs="Abz-2 (Badr)"/>
          <w:color w:val="000000" w:themeColor="text1"/>
          <w:sz w:val="28"/>
          <w:szCs w:val="28"/>
          <w:rtl/>
        </w:rPr>
        <w:t>ة التمكين لوجوب النفقة أنّ نفقة الزوجة جعلت في مقابل تمكينها للزوج، بمعنى أنّ الشارع كما أوجب على الزوج الإنفاق على زوجته، أوجب على الزوجة التمكين منه، ومن الواضح أنّ الزوجة إذا لم تكن لها قابليّة للتمكين، امتنع أن تكون مكلّفة بأمر الشارع به</w:t>
      </w:r>
      <w:r>
        <w:rPr>
          <w:rFonts w:cs="Abz-2 (Badr)" w:hint="cs"/>
          <w:color w:val="000000" w:themeColor="text1"/>
          <w:sz w:val="28"/>
          <w:szCs w:val="28"/>
          <w:rtl/>
        </w:rPr>
        <w:t>.</w:t>
      </w:r>
    </w:p>
    <w:p w14:paraId="577D4D62" w14:textId="77777777" w:rsidR="001437E8" w:rsidRDefault="001437E8" w:rsidP="001437E8">
      <w:pPr>
        <w:widowControl w:val="0"/>
        <w:bidi/>
        <w:spacing w:after="0" w:line="254" w:lineRule="auto"/>
        <w:ind w:firstLine="284"/>
        <w:jc w:val="both"/>
        <w:rPr>
          <w:rFonts w:cs="Abz-2 (Badr)"/>
          <w:color w:val="000000" w:themeColor="text1"/>
          <w:sz w:val="28"/>
          <w:szCs w:val="28"/>
          <w:rtl/>
        </w:rPr>
      </w:pPr>
      <w:r w:rsidRPr="004D718D">
        <w:rPr>
          <w:rFonts w:cs="Abz-2 (Badr)"/>
          <w:color w:val="000000" w:themeColor="text1"/>
          <w:sz w:val="28"/>
          <w:szCs w:val="28"/>
          <w:rtl/>
        </w:rPr>
        <w:t xml:space="preserve">فإن </w:t>
      </w:r>
      <w:r>
        <w:rPr>
          <w:rFonts w:cs="Abz-2 (Badr)" w:hint="cs"/>
          <w:color w:val="000000" w:themeColor="text1"/>
          <w:sz w:val="28"/>
          <w:szCs w:val="28"/>
          <w:rtl/>
        </w:rPr>
        <w:t>قلت</w:t>
      </w:r>
      <w:r w:rsidRPr="004D718D">
        <w:rPr>
          <w:rFonts w:cs="Abz-2 (Badr)"/>
          <w:color w:val="000000" w:themeColor="text1"/>
          <w:sz w:val="28"/>
          <w:szCs w:val="28"/>
          <w:rtl/>
        </w:rPr>
        <w:t>: يمكن الالتزام بالشقّ الأوّل والقول بأنّ أدلّة وجوب النفقة لا تشمل إلّا الزوجات الممكّنات من أزواجهنّ</w:t>
      </w:r>
      <w:r>
        <w:rPr>
          <w:rFonts w:cs="Abz-2 (Badr)" w:hint="cs"/>
          <w:color w:val="000000" w:themeColor="text1"/>
          <w:sz w:val="28"/>
          <w:szCs w:val="28"/>
          <w:rtl/>
        </w:rPr>
        <w:t>.</w:t>
      </w:r>
    </w:p>
    <w:p w14:paraId="7D0E9D56" w14:textId="77777777" w:rsidR="001437E8" w:rsidRDefault="001437E8" w:rsidP="001437E8">
      <w:pPr>
        <w:widowControl w:val="0"/>
        <w:bidi/>
        <w:spacing w:after="0" w:line="254" w:lineRule="auto"/>
        <w:ind w:firstLine="284"/>
        <w:jc w:val="both"/>
        <w:rPr>
          <w:rFonts w:cs="Abz-2 (Badr)"/>
          <w:color w:val="000000" w:themeColor="text1"/>
          <w:sz w:val="28"/>
          <w:szCs w:val="28"/>
          <w:rtl/>
        </w:rPr>
      </w:pPr>
      <w:r>
        <w:rPr>
          <w:rFonts w:cs="Abz-2 (Badr)" w:hint="cs"/>
          <w:color w:val="000000" w:themeColor="text1"/>
          <w:sz w:val="28"/>
          <w:szCs w:val="28"/>
          <w:rtl/>
        </w:rPr>
        <w:t>قلت</w:t>
      </w:r>
      <w:r w:rsidRPr="004D718D">
        <w:rPr>
          <w:rFonts w:cs="Abz-2 (Badr)"/>
          <w:color w:val="000000" w:themeColor="text1"/>
          <w:sz w:val="28"/>
          <w:szCs w:val="28"/>
          <w:rtl/>
        </w:rPr>
        <w:t>: إنّ دليل وجوب التمكين على الزوجة لا يقتضي أكثر من تخصيص دليل وجوب النفقة، ولا يصلح لتعيين موضوع النفقة بحيث يدّعى ـ خلافاً لإطلاق الدليل ـ أنّ موضوعها هو الزوجة القادرة على التمكين</w:t>
      </w:r>
      <w:r>
        <w:rPr>
          <w:rFonts w:cs="Abz-2 (Badr)" w:hint="cs"/>
          <w:color w:val="000000" w:themeColor="text1"/>
          <w:sz w:val="28"/>
          <w:szCs w:val="28"/>
          <w:rtl/>
        </w:rPr>
        <w:t xml:space="preserve">؛ </w:t>
      </w:r>
      <w:r w:rsidRPr="004D718D">
        <w:rPr>
          <w:rFonts w:cs="Abz-2 (Badr)"/>
          <w:color w:val="000000" w:themeColor="text1"/>
          <w:sz w:val="28"/>
          <w:szCs w:val="28"/>
          <w:rtl/>
        </w:rPr>
        <w:t>فمثلاً لو ورد في دليل</w:t>
      </w:r>
      <w:r>
        <w:rPr>
          <w:rFonts w:cs="Abz-2 (Badr)" w:hint="cs"/>
          <w:color w:val="000000" w:themeColor="text1"/>
          <w:sz w:val="28"/>
          <w:szCs w:val="28"/>
          <w:rtl/>
        </w:rPr>
        <w:t>:</w:t>
      </w:r>
      <w:r w:rsidRPr="004D718D">
        <w:rPr>
          <w:rFonts w:cs="Abz-2 (Badr)"/>
          <w:color w:val="000000" w:themeColor="text1"/>
          <w:sz w:val="28"/>
          <w:szCs w:val="28"/>
          <w:rtl/>
        </w:rPr>
        <w:t xml:space="preserve"> «أكرم العلماء» وورد في دليل آخر</w:t>
      </w:r>
      <w:r>
        <w:rPr>
          <w:rFonts w:cs="Abz-2 (Badr)" w:hint="cs"/>
          <w:color w:val="000000" w:themeColor="text1"/>
          <w:sz w:val="28"/>
          <w:szCs w:val="28"/>
          <w:rtl/>
        </w:rPr>
        <w:t>:</w:t>
      </w:r>
      <w:r w:rsidRPr="004D718D">
        <w:rPr>
          <w:rFonts w:cs="Abz-2 (Badr)"/>
          <w:color w:val="000000" w:themeColor="text1"/>
          <w:sz w:val="28"/>
          <w:szCs w:val="28"/>
          <w:rtl/>
        </w:rPr>
        <w:t xml:space="preserve"> «لا تكرم النحاة»، فغاية ما يمكن قوله </w:t>
      </w:r>
      <w:r>
        <w:rPr>
          <w:rFonts w:cs="Abz-2 (Badr)" w:hint="cs"/>
          <w:color w:val="000000" w:themeColor="text1"/>
          <w:sz w:val="28"/>
          <w:szCs w:val="28"/>
          <w:rtl/>
        </w:rPr>
        <w:t>أ</w:t>
      </w:r>
      <w:r w:rsidRPr="004D718D">
        <w:rPr>
          <w:rFonts w:cs="Abz-2 (Badr)"/>
          <w:color w:val="000000" w:themeColor="text1"/>
          <w:sz w:val="28"/>
          <w:szCs w:val="28"/>
          <w:rtl/>
        </w:rPr>
        <w:t>نّ الدليل الثاني يخصّص الدليل الأوّل بغير النحوي، وأمّا أن يدّعى أنّ الدليل الثاني أوجب خروج النحوي عن موضوع الحكم، فذلك دعوى</w:t>
      </w:r>
      <w:r>
        <w:rPr>
          <w:rFonts w:cs="Abz-2 (Badr)" w:hint="cs"/>
          <w:color w:val="000000" w:themeColor="text1"/>
          <w:sz w:val="28"/>
          <w:szCs w:val="28"/>
          <w:rtl/>
        </w:rPr>
        <w:t>ً</w:t>
      </w:r>
      <w:r w:rsidRPr="004D718D">
        <w:rPr>
          <w:rFonts w:cs="Abz-2 (Badr)"/>
          <w:color w:val="000000" w:themeColor="text1"/>
          <w:sz w:val="28"/>
          <w:szCs w:val="28"/>
          <w:rtl/>
        </w:rPr>
        <w:t xml:space="preserve"> بلا وجه وغير مقبولة</w:t>
      </w:r>
      <w:r>
        <w:rPr>
          <w:rFonts w:cs="Abz-2 (Badr)" w:hint="cs"/>
          <w:color w:val="000000" w:themeColor="text1"/>
          <w:sz w:val="28"/>
          <w:szCs w:val="28"/>
          <w:rtl/>
        </w:rPr>
        <w:t>.</w:t>
      </w:r>
    </w:p>
    <w:p w14:paraId="34B6EC4C" w14:textId="77777777" w:rsidR="001437E8" w:rsidRPr="00337355" w:rsidRDefault="001437E8" w:rsidP="001437E8">
      <w:pPr>
        <w:widowControl w:val="0"/>
        <w:bidi/>
        <w:spacing w:after="0" w:line="254" w:lineRule="auto"/>
        <w:ind w:firstLine="284"/>
        <w:jc w:val="both"/>
        <w:rPr>
          <w:rFonts w:cs="Abz-2 (Badr)"/>
          <w:color w:val="000000" w:themeColor="text1"/>
          <w:sz w:val="28"/>
          <w:szCs w:val="28"/>
          <w:rtl/>
          <w:lang w:bidi="fa-IR"/>
        </w:rPr>
      </w:pPr>
      <w:r w:rsidRPr="004D718D">
        <w:rPr>
          <w:rFonts w:cs="Abz-2 (Badr)"/>
          <w:color w:val="000000" w:themeColor="text1"/>
          <w:sz w:val="28"/>
          <w:szCs w:val="28"/>
          <w:rtl/>
        </w:rPr>
        <w:t>ودليل هذا المطلب أنّه في موارد الشكّ في أنّ الدليل هل أوجب إخراج حكم فرد من تحت دليل آخر، أو أنّه أخرج ذلك الفرد موضوعاً من تحته، فمقتضى الأصل هو الحمل على التخصيص</w:t>
      </w:r>
      <w:r>
        <w:rPr>
          <w:rFonts w:cs="Abz-2 (Badr)" w:hint="cs"/>
          <w:color w:val="000000" w:themeColor="text1"/>
          <w:sz w:val="28"/>
          <w:szCs w:val="28"/>
          <w:rtl/>
        </w:rPr>
        <w:t xml:space="preserve"> و</w:t>
      </w:r>
      <w:r w:rsidRPr="004D718D">
        <w:rPr>
          <w:rFonts w:cs="Abz-2 (Badr)"/>
          <w:color w:val="000000" w:themeColor="text1"/>
          <w:sz w:val="28"/>
          <w:szCs w:val="28"/>
          <w:rtl/>
        </w:rPr>
        <w:t>سنبيّن</w:t>
      </w:r>
      <w:r>
        <w:rPr>
          <w:rFonts w:cs="Abz-2 (Badr)" w:hint="cs"/>
          <w:color w:val="000000" w:themeColor="text1"/>
          <w:sz w:val="28"/>
          <w:szCs w:val="28"/>
          <w:rtl/>
        </w:rPr>
        <w:t xml:space="preserve"> وجهه</w:t>
      </w:r>
      <w:r w:rsidRPr="004D718D">
        <w:rPr>
          <w:rFonts w:cs="Abz-2 (Badr)"/>
          <w:color w:val="000000" w:themeColor="text1"/>
          <w:sz w:val="28"/>
          <w:szCs w:val="28"/>
          <w:rtl/>
        </w:rPr>
        <w:t xml:space="preserve"> في الجلسة القادمة إن شاء الله تعالى</w:t>
      </w:r>
      <w:r>
        <w:rPr>
          <w:rFonts w:cs="Abz-2 (Badr)" w:hint="cs"/>
          <w:color w:val="000000" w:themeColor="text1"/>
          <w:sz w:val="28"/>
          <w:szCs w:val="28"/>
          <w:rtl/>
        </w:rPr>
        <w:t>.</w:t>
      </w:r>
      <w:bookmarkEnd w:id="3"/>
      <w:bookmarkEnd w:id="4"/>
    </w:p>
    <w:bookmarkEnd w:id="1"/>
    <w:p w14:paraId="2AD04477" w14:textId="7D63A4A4" w:rsidR="00B706A3" w:rsidRPr="001437E8" w:rsidRDefault="00B706A3" w:rsidP="001437E8">
      <w:pPr>
        <w:rPr>
          <w:rtl/>
        </w:rPr>
      </w:pPr>
    </w:p>
    <w:sectPr w:rsidR="00B706A3" w:rsidRPr="001437E8"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DC44" w14:textId="77777777" w:rsidR="00437D81" w:rsidRDefault="00437D81" w:rsidP="00F71127">
      <w:pPr>
        <w:spacing w:after="0" w:line="240" w:lineRule="auto"/>
      </w:pPr>
      <w:r>
        <w:separator/>
      </w:r>
    </w:p>
  </w:endnote>
  <w:endnote w:type="continuationSeparator" w:id="0">
    <w:p w14:paraId="5ABF1907" w14:textId="77777777" w:rsidR="00437D81" w:rsidRDefault="00437D8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D0FE" w14:textId="77777777" w:rsidR="00707A19" w:rsidRDefault="00707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ECFC" w14:textId="77777777" w:rsidR="00707A19" w:rsidRDefault="00707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CF58" w14:textId="77777777" w:rsidR="00437D81" w:rsidRDefault="00437D81" w:rsidP="00EE25C0">
      <w:pPr>
        <w:bidi/>
        <w:spacing w:after="0" w:line="240" w:lineRule="auto"/>
      </w:pPr>
      <w:r>
        <w:separator/>
      </w:r>
    </w:p>
  </w:footnote>
  <w:footnote w:type="continuationSeparator" w:id="0">
    <w:p w14:paraId="793A7942" w14:textId="77777777" w:rsidR="00437D81" w:rsidRDefault="00437D81" w:rsidP="00F71127">
      <w:pPr>
        <w:bidi/>
        <w:spacing w:after="0" w:line="240" w:lineRule="auto"/>
      </w:pPr>
      <w:r>
        <w:continuationSeparator/>
      </w:r>
    </w:p>
  </w:footnote>
  <w:footnote w:id="1">
    <w:p w14:paraId="6893E36B" w14:textId="77777777" w:rsidR="001437E8" w:rsidRDefault="001437E8" w:rsidP="001437E8">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نهاية المرام،ج1،ص475.</w:t>
      </w:r>
    </w:p>
  </w:footnote>
  <w:footnote w:id="2">
    <w:p w14:paraId="0C886879" w14:textId="77777777" w:rsidR="001437E8" w:rsidRDefault="001437E8" w:rsidP="001437E8">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نهاية المرام،ج1،ص475.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E93" w14:textId="77777777" w:rsidR="00707A19" w:rsidRDefault="00707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0387E4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1437E8">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707A19">
                            <w:rPr>
                              <w:rFonts w:cs="B Mehr" w:hint="cs"/>
                              <w:rtl/>
                              <w:lang w:bidi="fa-IR"/>
                            </w:rPr>
                            <w:t>1</w:t>
                          </w:r>
                          <w:r w:rsidR="001437E8">
                            <w:rPr>
                              <w:rFonts w:cs="B Mehr" w:hint="cs"/>
                              <w:rtl/>
                              <w:lang w:bidi="fa-IR"/>
                            </w:rPr>
                            <w:t>4</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0387E4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1437E8">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707A19">
                      <w:rPr>
                        <w:rFonts w:cs="B Mehr" w:hint="cs"/>
                        <w:rtl/>
                        <w:lang w:bidi="fa-IR"/>
                      </w:rPr>
                      <w:t>1</w:t>
                    </w:r>
                    <w:r w:rsidR="001437E8">
                      <w:rPr>
                        <w:rFonts w:cs="B Mehr" w:hint="cs"/>
                        <w:rtl/>
                        <w:lang w:bidi="fa-IR"/>
                      </w:rPr>
                      <w:t>4</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898A" w14:textId="77777777" w:rsidR="00707A19" w:rsidRDefault="00707A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1</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613</cp:revision>
  <cp:lastPrinted>2025-04-14T09:12:00Z</cp:lastPrinted>
  <dcterms:created xsi:type="dcterms:W3CDTF">2022-10-16T08:36:00Z</dcterms:created>
  <dcterms:modified xsi:type="dcterms:W3CDTF">2025-10-06T08:10:00Z</dcterms:modified>
</cp:coreProperties>
</file>