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FD683" w14:textId="77777777" w:rsidR="00BF51AC" w:rsidRPr="00652E92" w:rsidRDefault="00BF51AC" w:rsidP="00BF51AC">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68B51E01" w14:textId="77777777" w:rsidR="00BF51AC" w:rsidRPr="00652E92" w:rsidRDefault="00BF51AC" w:rsidP="00BF51AC">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74CF1F8" w14:textId="77777777" w:rsidR="00BF51AC" w:rsidRPr="00652E92" w:rsidRDefault="00BF51AC" w:rsidP="00BF51AC">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844</w:t>
      </w:r>
    </w:p>
    <w:p w14:paraId="2DEB7642" w14:textId="77777777" w:rsidR="00BF51AC" w:rsidRDefault="00BF51AC" w:rsidP="00BF51AC">
      <w:pPr>
        <w:widowControl w:val="0"/>
        <w:bidi/>
        <w:spacing w:after="0"/>
        <w:ind w:firstLine="284"/>
        <w:jc w:val="both"/>
        <w:rPr>
          <w:rFonts w:cs="Abz-2 (Badr)"/>
          <w:sz w:val="28"/>
          <w:szCs w:val="28"/>
          <w:rtl/>
          <w:lang w:bidi="fa-IR"/>
        </w:rPr>
      </w:pPr>
      <w:bookmarkStart w:id="0" w:name="_Hlk159096966"/>
    </w:p>
    <w:p w14:paraId="3D24A089" w14:textId="77777777" w:rsidR="00BF51AC" w:rsidRDefault="00BF51AC" w:rsidP="00BF51AC">
      <w:pPr>
        <w:widowControl w:val="0"/>
        <w:bidi/>
        <w:spacing w:after="0" w:line="257" w:lineRule="auto"/>
        <w:ind w:firstLine="284"/>
        <w:jc w:val="both"/>
        <w:rPr>
          <w:rFonts w:cs="Abz-2 (Badr)"/>
          <w:color w:val="000000" w:themeColor="text1"/>
          <w:sz w:val="28"/>
          <w:szCs w:val="28"/>
          <w:rtl/>
          <w:lang w:bidi="ar"/>
        </w:rPr>
      </w:pPr>
      <w:bookmarkStart w:id="1" w:name="_Hlk209798859"/>
      <w:bookmarkEnd w:id="0"/>
      <w:r>
        <w:rPr>
          <w:rFonts w:cs="Abz-2 (Badr)" w:hint="cs"/>
          <w:color w:val="000000" w:themeColor="text1"/>
          <w:sz w:val="28"/>
          <w:szCs w:val="28"/>
          <w:rtl/>
          <w:lang w:bidi="ar"/>
        </w:rPr>
        <w:t xml:space="preserve">جلسه قبل گفتيم که </w:t>
      </w:r>
      <w:r w:rsidRPr="00321C80">
        <w:rPr>
          <w:rFonts w:cs="Abz-2 (Badr)" w:hint="cs"/>
          <w:color w:val="000000" w:themeColor="text1"/>
          <w:sz w:val="28"/>
          <w:szCs w:val="28"/>
          <w:rtl/>
          <w:lang w:bidi="fa-IR"/>
        </w:rPr>
        <w:t>محل بحث در اين مقام اين است که آنچه که در مقام اثبات سبب وجوب نفقه زوجه بر زوج می</w:t>
      </w:r>
      <w:r w:rsidRPr="00321C80">
        <w:rPr>
          <w:rFonts w:cs="Abz-2 (Badr)" w:hint="cs"/>
          <w:color w:val="000000" w:themeColor="text1"/>
          <w:sz w:val="28"/>
          <w:szCs w:val="28"/>
          <w:rtl/>
          <w:lang w:bidi="fa-IR"/>
        </w:rPr>
        <w:softHyphen/>
        <w:t xml:space="preserve">گردد، آيا مجرد عقد است به نحوی که تا نشوز زوجه اثبات نگردد، بر زوج واجب باشد که نفقه وی را بپردازد، يا اين که بعد از عقد بايد تمکين زوجه از زوج اثبات شود تا اين که دادن نفقه او بر زوج واجب </w:t>
      </w:r>
      <w:r>
        <w:rPr>
          <w:rFonts w:cs="Abz-2 (Badr)" w:hint="cs"/>
          <w:color w:val="000000" w:themeColor="text1"/>
          <w:sz w:val="28"/>
          <w:szCs w:val="28"/>
          <w:rtl/>
          <w:lang w:bidi="fa-IR"/>
        </w:rPr>
        <w:t>شو</w:t>
      </w:r>
      <w:r w:rsidRPr="00321C80">
        <w:rPr>
          <w:rFonts w:cs="Abz-2 (Badr)" w:hint="cs"/>
          <w:color w:val="000000" w:themeColor="text1"/>
          <w:sz w:val="28"/>
          <w:szCs w:val="28"/>
          <w:rtl/>
          <w:lang w:bidi="fa-IR"/>
        </w:rPr>
        <w:t>د؟</w:t>
      </w:r>
    </w:p>
    <w:p w14:paraId="412F8A73" w14:textId="77777777" w:rsidR="00BF51AC" w:rsidRPr="00321C80" w:rsidRDefault="00BF51AC" w:rsidP="00BF51AC">
      <w:pPr>
        <w:widowControl w:val="0"/>
        <w:bidi/>
        <w:spacing w:after="0" w:line="257" w:lineRule="auto"/>
        <w:ind w:firstLine="284"/>
        <w:jc w:val="both"/>
        <w:rPr>
          <w:rFonts w:cs="Abz-2 (Badr)"/>
          <w:color w:val="0070C0"/>
          <w:sz w:val="28"/>
          <w:szCs w:val="28"/>
          <w:rtl/>
          <w:lang w:bidi="ar"/>
        </w:rPr>
      </w:pPr>
      <w:r w:rsidRPr="00321C80">
        <w:rPr>
          <w:rFonts w:cs="Abz-2 (Badr)" w:hint="cs"/>
          <w:color w:val="000000" w:themeColor="text1"/>
          <w:sz w:val="28"/>
          <w:szCs w:val="28"/>
          <w:rtl/>
          <w:lang w:bidi="fa-IR"/>
        </w:rPr>
        <w:t xml:space="preserve">شهيد ثانی ادله قول دوم را به اين نحو برشمرده است: </w:t>
      </w:r>
      <w:r w:rsidRPr="00321C80">
        <w:rPr>
          <w:rFonts w:cs="Abz-2 (Badr)" w:hint="cs"/>
          <w:color w:val="0070C0"/>
          <w:sz w:val="28"/>
          <w:szCs w:val="28"/>
          <w:rtl/>
          <w:lang w:bidi="fa-IR"/>
        </w:rPr>
        <w:t>«</w:t>
      </w:r>
      <w:r w:rsidRPr="00321C80">
        <w:rPr>
          <w:rFonts w:cs="Abz-2 (Badr)" w:hint="cs"/>
          <w:color w:val="0070C0"/>
          <w:sz w:val="28"/>
          <w:szCs w:val="28"/>
          <w:rtl/>
          <w:lang w:bidi="ar"/>
        </w:rPr>
        <w:t>لأنّ‌ المهر يجب به</w:t>
      </w:r>
      <w:r w:rsidRPr="00321C80">
        <w:rPr>
          <w:rFonts w:cs="Abz-2 (Badr)"/>
          <w:color w:val="000000" w:themeColor="text1"/>
          <w:sz w:val="28"/>
          <w:szCs w:val="28"/>
          <w:vertAlign w:val="superscript"/>
          <w:rtl/>
          <w:lang w:bidi="ar"/>
        </w:rPr>
        <w:footnoteReference w:id="1"/>
      </w:r>
      <w:r w:rsidRPr="00321C80">
        <w:rPr>
          <w:rFonts w:cs="Abz-2 (Badr)" w:hint="cs"/>
          <w:color w:val="000000" w:themeColor="text1"/>
          <w:sz w:val="28"/>
          <w:szCs w:val="28"/>
          <w:rtl/>
          <w:lang w:bidi="ar"/>
        </w:rPr>
        <w:t xml:space="preserve"> </w:t>
      </w:r>
      <w:r w:rsidRPr="00321C80">
        <w:rPr>
          <w:rFonts w:cs="Abz-2 (Badr)" w:hint="cs"/>
          <w:color w:val="0070C0"/>
          <w:sz w:val="28"/>
          <w:szCs w:val="28"/>
          <w:rtl/>
          <w:lang w:bidi="ar"/>
        </w:rPr>
        <w:t>والعقد لا يوجب عوضين مختلفين.</w:t>
      </w:r>
    </w:p>
    <w:p w14:paraId="57DF4015" w14:textId="77777777" w:rsidR="00BF51AC" w:rsidRPr="00321C80" w:rsidRDefault="00BF51AC" w:rsidP="00BF51AC">
      <w:pPr>
        <w:widowControl w:val="0"/>
        <w:bidi/>
        <w:spacing w:after="0" w:line="257" w:lineRule="auto"/>
        <w:ind w:firstLine="284"/>
        <w:jc w:val="both"/>
        <w:rPr>
          <w:rFonts w:cs="Abz-2 (Badr)"/>
          <w:color w:val="0070C0"/>
          <w:sz w:val="28"/>
          <w:szCs w:val="28"/>
          <w:rtl/>
          <w:lang w:bidi="ar"/>
        </w:rPr>
      </w:pPr>
      <w:r w:rsidRPr="00321C80">
        <w:rPr>
          <w:rFonts w:cs="Abz-2 (Badr)" w:hint="cs"/>
          <w:color w:val="0070C0"/>
          <w:sz w:val="28"/>
          <w:szCs w:val="28"/>
          <w:rtl/>
          <w:lang w:bidi="ar"/>
        </w:rPr>
        <w:t>ولأنّ‌ النّفقة مجهولة الجملة، والعقد لا يوجب مالاً مجهولاً.</w:t>
      </w:r>
    </w:p>
    <w:p w14:paraId="2AAA4B75" w14:textId="77777777" w:rsidR="00BF51AC" w:rsidRPr="00321C80" w:rsidRDefault="00BF51AC" w:rsidP="00BF51AC">
      <w:pPr>
        <w:widowControl w:val="0"/>
        <w:bidi/>
        <w:spacing w:after="0" w:line="257" w:lineRule="auto"/>
        <w:ind w:firstLine="284"/>
        <w:jc w:val="both"/>
        <w:rPr>
          <w:rFonts w:cs="Abz-2 (Badr)"/>
          <w:color w:val="0070C0"/>
          <w:sz w:val="28"/>
          <w:szCs w:val="28"/>
          <w:rtl/>
          <w:lang w:bidi="ar"/>
        </w:rPr>
      </w:pPr>
      <w:r w:rsidRPr="00321C80">
        <w:rPr>
          <w:rFonts w:cs="Abz-2 (Badr)" w:hint="cs"/>
          <w:color w:val="0070C0"/>
          <w:sz w:val="28"/>
          <w:szCs w:val="28"/>
          <w:rtl/>
          <w:lang w:bidi="ar"/>
        </w:rPr>
        <w:t>ولما روي أنّ النبيّ(ص) تزوّج ودخل بعد سنتين ولم ينفق إلا بعد دخوله.</w:t>
      </w:r>
    </w:p>
    <w:p w14:paraId="621D9B92" w14:textId="77777777" w:rsidR="00BF51AC" w:rsidRPr="00321C80" w:rsidRDefault="00BF51AC" w:rsidP="00BF51AC">
      <w:pPr>
        <w:widowControl w:val="0"/>
        <w:bidi/>
        <w:spacing w:after="0" w:line="257" w:lineRule="auto"/>
        <w:ind w:firstLine="284"/>
        <w:jc w:val="both"/>
        <w:rPr>
          <w:rFonts w:cs="Abz-2 (Badr)"/>
          <w:color w:val="0070C0"/>
          <w:sz w:val="28"/>
          <w:szCs w:val="28"/>
          <w:rtl/>
          <w:lang w:bidi="ar"/>
        </w:rPr>
      </w:pPr>
      <w:r w:rsidRPr="00321C80">
        <w:rPr>
          <w:rFonts w:cs="Abz-2 (Badr)" w:hint="cs"/>
          <w:color w:val="0070C0"/>
          <w:sz w:val="28"/>
          <w:szCs w:val="28"/>
          <w:rtl/>
          <w:lang w:bidi="ar"/>
        </w:rPr>
        <w:t>ولقوله(ص): «اتّقوا الله في النساء، فإنّهنّ‌ عوار عندكم، اتّخذتموهنّ‌ بأمانة الله، واستحللتم فروجهنّ‌ بكلمة الله، ولهنّ‌ عليكم رزقهنّ‌ وكسوتهنّ‌ بالمعروف»</w:t>
      </w:r>
      <w:r w:rsidRPr="00321C80">
        <w:rPr>
          <w:rFonts w:cs="Abz-2 (Badr)"/>
          <w:color w:val="000000" w:themeColor="text1"/>
          <w:sz w:val="28"/>
          <w:szCs w:val="28"/>
          <w:vertAlign w:val="superscript"/>
          <w:rtl/>
          <w:lang w:bidi="ar"/>
        </w:rPr>
        <w:footnoteReference w:id="2"/>
      </w:r>
      <w:r w:rsidRPr="00321C80">
        <w:rPr>
          <w:rFonts w:cs="Abz-2 (Badr)" w:hint="cs"/>
          <w:color w:val="000000" w:themeColor="text1"/>
          <w:sz w:val="28"/>
          <w:szCs w:val="28"/>
          <w:rtl/>
          <w:lang w:bidi="ar"/>
        </w:rPr>
        <w:t xml:space="preserve"> </w:t>
      </w:r>
      <w:r w:rsidRPr="00321C80">
        <w:rPr>
          <w:rFonts w:cs="Abz-2 (Badr)" w:hint="cs"/>
          <w:color w:val="0070C0"/>
          <w:sz w:val="28"/>
          <w:szCs w:val="28"/>
          <w:rtl/>
          <w:lang w:bidi="ar"/>
        </w:rPr>
        <w:t>أوجب لهنّ‌ إذا كنّ‌ عند الرجال، وهو يدلّ‌ على التمكين.</w:t>
      </w:r>
    </w:p>
    <w:p w14:paraId="24E6289A" w14:textId="77777777" w:rsidR="00BF51AC" w:rsidRPr="00321C80" w:rsidRDefault="00BF51AC" w:rsidP="00BF51AC">
      <w:pPr>
        <w:widowControl w:val="0"/>
        <w:bidi/>
        <w:spacing w:after="0" w:line="257" w:lineRule="auto"/>
        <w:ind w:firstLine="284"/>
        <w:jc w:val="both"/>
        <w:rPr>
          <w:rFonts w:cs="Abz-2 (Badr)"/>
          <w:color w:val="000000" w:themeColor="text1"/>
          <w:sz w:val="28"/>
          <w:szCs w:val="28"/>
          <w:rtl/>
          <w:lang w:bidi="fa-IR"/>
        </w:rPr>
      </w:pPr>
      <w:r w:rsidRPr="00321C80">
        <w:rPr>
          <w:rFonts w:cs="Abz-2 (Badr)" w:hint="cs"/>
          <w:color w:val="0070C0"/>
          <w:sz w:val="28"/>
          <w:szCs w:val="28"/>
          <w:rtl/>
          <w:lang w:bidi="ar"/>
        </w:rPr>
        <w:t>ولأنّ الأصل براءة الذمّة من وجوب النفقة، خرج منه حالة التمكين بالإجماع فيبقى الباقي على الأصل.»</w:t>
      </w:r>
      <w:r w:rsidRPr="00321C80">
        <w:rPr>
          <w:rFonts w:cs="Abz-2 (Badr)"/>
          <w:color w:val="000000" w:themeColor="text1"/>
          <w:sz w:val="28"/>
          <w:szCs w:val="28"/>
          <w:vertAlign w:val="superscript"/>
          <w:rtl/>
          <w:lang w:bidi="ar"/>
        </w:rPr>
        <w:footnoteReference w:id="3"/>
      </w:r>
    </w:p>
    <w:p w14:paraId="2CB05963" w14:textId="77777777" w:rsidR="00BF51AC" w:rsidRPr="00321C80" w:rsidRDefault="00BF51AC" w:rsidP="00BF51AC">
      <w:pPr>
        <w:widowControl w:val="0"/>
        <w:bidi/>
        <w:spacing w:after="0" w:line="257" w:lineRule="auto"/>
        <w:ind w:firstLine="284"/>
        <w:jc w:val="both"/>
        <w:rPr>
          <w:rFonts w:cs="Abz-2 (Badr)"/>
          <w:color w:val="0070C0"/>
          <w:sz w:val="28"/>
          <w:szCs w:val="28"/>
          <w:rtl/>
          <w:lang w:bidi="ar"/>
        </w:rPr>
      </w:pPr>
      <w:r w:rsidRPr="00321C80">
        <w:rPr>
          <w:rFonts w:cs="Abz-2 (Badr)" w:hint="cs"/>
          <w:color w:val="000000" w:themeColor="text1"/>
          <w:sz w:val="28"/>
          <w:szCs w:val="28"/>
          <w:rtl/>
          <w:lang w:bidi="fa-IR"/>
        </w:rPr>
        <w:t>اما در ادامه با اشکال در اين ادله می</w:t>
      </w:r>
      <w:r w:rsidRPr="00321C80">
        <w:rPr>
          <w:rFonts w:cs="Abz-2 (Badr)" w:hint="cs"/>
          <w:color w:val="000000" w:themeColor="text1"/>
          <w:sz w:val="28"/>
          <w:szCs w:val="28"/>
          <w:rtl/>
          <w:lang w:bidi="fa-IR"/>
        </w:rPr>
        <w:softHyphen/>
        <w:t xml:space="preserve">فرمايد: </w:t>
      </w:r>
      <w:r w:rsidRPr="00321C80">
        <w:rPr>
          <w:rFonts w:cs="Abz-2 (Badr)" w:hint="cs"/>
          <w:color w:val="0070C0"/>
          <w:sz w:val="28"/>
          <w:szCs w:val="28"/>
          <w:rtl/>
          <w:lang w:bidi="fa-IR"/>
        </w:rPr>
        <w:t>«</w:t>
      </w:r>
      <w:r w:rsidRPr="00321C80">
        <w:rPr>
          <w:rFonts w:cs="Abz-2 (Badr)" w:hint="cs"/>
          <w:color w:val="0070C0"/>
          <w:sz w:val="28"/>
          <w:szCs w:val="28"/>
          <w:rtl/>
          <w:lang w:bidi="ar"/>
        </w:rPr>
        <w:t>في جميع هذه الأدلّة نظر؛ لأنّ عدم إيجاب العقد عوضين مختلفين وعدم إيجابه مالاً مجهولاً مجرّد دعوىً أو استبعاد قد دلّ‌ الدليل على خلافهما، فإنّ الآيات الدالّة على وجوب الإنفاق على الزوجة من غير تقييد تدلّ‌ على أنّ العقد أوجب النفقة على ذلك الوجه، وأيّ‌ مانع من إيجاب العقد أمرين مختلفين كما في شراء الدابّة والمملوك‌؟ فإن العقد يوجب الثمن كالمهر ويوجب الإنفاق المجهول من غير شرط إجماعاً.</w:t>
      </w:r>
    </w:p>
    <w:p w14:paraId="046202B6" w14:textId="77777777" w:rsidR="00BF51AC" w:rsidRPr="00321C80" w:rsidRDefault="00BF51AC" w:rsidP="00BF51AC">
      <w:pPr>
        <w:widowControl w:val="0"/>
        <w:bidi/>
        <w:spacing w:after="0" w:line="257" w:lineRule="auto"/>
        <w:ind w:firstLine="284"/>
        <w:jc w:val="both"/>
        <w:rPr>
          <w:rFonts w:cs="Abz-2 (Badr)"/>
          <w:color w:val="0070C0"/>
          <w:sz w:val="28"/>
          <w:szCs w:val="28"/>
          <w:rtl/>
        </w:rPr>
      </w:pPr>
      <w:r w:rsidRPr="00321C80">
        <w:rPr>
          <w:rFonts w:cs="Abz-2 (Badr)" w:hint="cs"/>
          <w:color w:val="0070C0"/>
          <w:sz w:val="28"/>
          <w:szCs w:val="28"/>
          <w:rtl/>
          <w:lang w:bidi="ar"/>
        </w:rPr>
        <w:lastRenderedPageBreak/>
        <w:t>وعدم إنفاق النبيّ(ص) قبل الدخول ـ لو سلّم ـ لا يدلّ‌ على عدم الوجوب بإحدى الدلالات.</w:t>
      </w:r>
    </w:p>
    <w:p w14:paraId="3F0EA821" w14:textId="77777777" w:rsidR="00BF51AC" w:rsidRPr="00321C80" w:rsidRDefault="00BF51AC" w:rsidP="00BF51AC">
      <w:pPr>
        <w:widowControl w:val="0"/>
        <w:bidi/>
        <w:spacing w:after="0" w:line="257" w:lineRule="auto"/>
        <w:ind w:firstLine="284"/>
        <w:jc w:val="both"/>
        <w:rPr>
          <w:rFonts w:cs="Abz-2 (Badr)"/>
          <w:color w:val="0070C0"/>
          <w:sz w:val="28"/>
          <w:szCs w:val="28"/>
          <w:rtl/>
          <w:lang w:bidi="ar"/>
        </w:rPr>
      </w:pPr>
      <w:r w:rsidRPr="00321C80">
        <w:rPr>
          <w:rFonts w:cs="Abz-2 (Badr)" w:hint="cs"/>
          <w:color w:val="0070C0"/>
          <w:sz w:val="28"/>
          <w:szCs w:val="28"/>
          <w:rtl/>
          <w:lang w:bidi="ar"/>
        </w:rPr>
        <w:t>والخبر يدلّ‌ على خلاف مطلوبكم، لأنّ الضمير في قوله(ص): «ولهنّ‌ عليكم رزقهنّ‌» يعود إلى النساء المصدّر بذكرهنّ‌، وهنّ‌ أعمّ‌ من الممكّنات. ووصفهنّ‌ بالوصفين لا يدلّ‌ على التمكين المدّعى كونه شرطاً أو سبباً، لأنّ استحلال فروجهنّ‌ يحصل مع التمكين التامّ وعدمه.</w:t>
      </w:r>
    </w:p>
    <w:p w14:paraId="3054D3AE" w14:textId="77777777" w:rsidR="00BF51AC" w:rsidRDefault="00BF51AC" w:rsidP="00BF51AC">
      <w:pPr>
        <w:widowControl w:val="0"/>
        <w:bidi/>
        <w:spacing w:after="0" w:line="257" w:lineRule="auto"/>
        <w:ind w:firstLine="284"/>
        <w:jc w:val="both"/>
        <w:rPr>
          <w:rFonts w:cs="Abz-2 (Badr)"/>
          <w:color w:val="0070C0"/>
          <w:sz w:val="28"/>
          <w:szCs w:val="28"/>
          <w:rtl/>
          <w:lang w:bidi="ar"/>
        </w:rPr>
      </w:pPr>
      <w:r w:rsidRPr="00321C80">
        <w:rPr>
          <w:rFonts w:cs="Abz-2 (Badr)" w:hint="cs"/>
          <w:color w:val="0070C0"/>
          <w:sz w:val="28"/>
          <w:szCs w:val="28"/>
          <w:rtl/>
          <w:lang w:bidi="ar"/>
        </w:rPr>
        <w:t>وأمّا أصالة البراءة فإنّما تكون حجّة مع عدم دليل ناقل عنه، لكنّه موجود هنا بالعمومات الدالّة على وجوب نفقة الأزواج، والأصل عدم التخصيص.»</w:t>
      </w:r>
      <w:r w:rsidRPr="00321C80">
        <w:rPr>
          <w:rFonts w:cs="Abz-2 (Badr)"/>
          <w:color w:val="000000" w:themeColor="text1"/>
          <w:sz w:val="28"/>
          <w:szCs w:val="28"/>
          <w:vertAlign w:val="superscript"/>
          <w:rtl/>
          <w:lang w:bidi="ar"/>
        </w:rPr>
        <w:footnoteReference w:id="4"/>
      </w:r>
    </w:p>
    <w:p w14:paraId="41497DF2" w14:textId="77777777" w:rsidR="00BF51AC" w:rsidRDefault="00BF51AC" w:rsidP="00BF51AC">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اما در اشکال بر استدلال اول و دوم بهتر است گفته شود: عقد نکاح از عقود معاوضی نيست و نه نفقه و نه مهر، عوض محسوب نمی</w:t>
      </w:r>
      <w:r>
        <w:rPr>
          <w:rFonts w:cs="Abz-2 (Badr)"/>
          <w:color w:val="000000" w:themeColor="text1"/>
          <w:sz w:val="28"/>
          <w:szCs w:val="28"/>
          <w:rtl/>
          <w:lang w:bidi="fa-IR"/>
        </w:rPr>
        <w:softHyphen/>
      </w:r>
      <w:r>
        <w:rPr>
          <w:rFonts w:cs="Abz-2 (Badr)" w:hint="cs"/>
          <w:color w:val="000000" w:themeColor="text1"/>
          <w:sz w:val="28"/>
          <w:szCs w:val="28"/>
          <w:rtl/>
          <w:lang w:bidi="fa-IR"/>
        </w:rPr>
        <w:t>شوند، همان گونه که بضع نيز معوّض نيست، بلکه وجوب مهر و نفقه مبتنی بر حکم شارع بر لزوم اعطاء آنها به زوجه توسط زوج است، فلذا فقدان مهر و نفقه در نکاح</w:t>
      </w:r>
      <w:r>
        <w:rPr>
          <w:rFonts w:cs="Abz-2 (Badr)"/>
          <w:color w:val="000000" w:themeColor="text1"/>
          <w:sz w:val="28"/>
          <w:szCs w:val="28"/>
          <w:rtl/>
          <w:lang w:bidi="fa-IR"/>
        </w:rPr>
        <w:softHyphen/>
      </w:r>
      <w:r>
        <w:rPr>
          <w:rFonts w:cs="Abz-2 (Badr)" w:hint="cs"/>
          <w:color w:val="000000" w:themeColor="text1"/>
          <w:sz w:val="28"/>
          <w:szCs w:val="28"/>
          <w:rtl/>
          <w:lang w:bidi="fa-IR"/>
        </w:rPr>
        <w:t>های برخی از غير مسلمين ضرری به صدق نکاح بر عقد واقع بين آنان وارد نمی</w:t>
      </w:r>
      <w:r>
        <w:rPr>
          <w:rFonts w:cs="Abz-2 (Badr)"/>
          <w:color w:val="000000" w:themeColor="text1"/>
          <w:sz w:val="28"/>
          <w:szCs w:val="28"/>
          <w:rtl/>
          <w:lang w:bidi="fa-IR"/>
        </w:rPr>
        <w:softHyphen/>
      </w:r>
      <w:r>
        <w:rPr>
          <w:rFonts w:cs="Abz-2 (Badr)" w:hint="cs"/>
          <w:color w:val="000000" w:themeColor="text1"/>
          <w:sz w:val="28"/>
          <w:szCs w:val="28"/>
          <w:rtl/>
          <w:lang w:bidi="fa-IR"/>
        </w:rPr>
        <w:t>سازد، در حالی که اگر آنها را عوض بدانيم، فقدان آنها در عقد سبب اخلال به تماميت آن به جهت فقدان رکن خواهد بود.</w:t>
      </w:r>
    </w:p>
    <w:p w14:paraId="3B718E8C" w14:textId="77777777" w:rsidR="00BF51AC" w:rsidRDefault="00BF51AC" w:rsidP="00BF51AC">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اما عدم دلالت نفقه ندادن توسط نبی اسلام(ص) قبل از دخول بر مدعای مذکور به اين جهت است که اگر هم صحت خبر را بپذيريم، از آنجا که اين مطلب مربوط به قضيه</w:t>
      </w:r>
      <w:r>
        <w:rPr>
          <w:rFonts w:cs="Abz-2 (Badr)"/>
          <w:color w:val="000000" w:themeColor="text1"/>
          <w:sz w:val="28"/>
          <w:szCs w:val="28"/>
          <w:rtl/>
          <w:lang w:bidi="fa-IR"/>
        </w:rPr>
        <w:softHyphen/>
      </w:r>
      <w:r>
        <w:rPr>
          <w:rFonts w:cs="Abz-2 (Badr)" w:hint="cs"/>
          <w:color w:val="000000" w:themeColor="text1"/>
          <w:sz w:val="28"/>
          <w:szCs w:val="28"/>
          <w:rtl/>
          <w:lang w:bidi="fa-IR"/>
        </w:rPr>
        <w:t>ای خارجيه است که خصوصيات آن برای ما معلوم نيست، استناد به فعل پيامبر اکرم(ص) برای اثبات اشتراط تمکين برای وجوب نفقه، ممکن نخواهد بود.</w:t>
      </w:r>
    </w:p>
    <w:p w14:paraId="0E765E57" w14:textId="77777777" w:rsidR="00BF51AC" w:rsidRDefault="00BF51AC" w:rsidP="00BF51AC">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اشکال استدلال به خبر منقول از رسول اکرم(ص) ـ با فرض صحت اسناد آن ـ نيز همان مطلبی است که صاحب مسال</w:t>
      </w:r>
      <w:r>
        <w:rPr>
          <w:rFonts w:cs="Abz-2 (Badr)" w:hint="cs"/>
          <w:color w:val="000000" w:themeColor="text1"/>
          <w:sz w:val="28"/>
          <w:szCs w:val="28"/>
          <w:rtl/>
        </w:rPr>
        <w:t xml:space="preserve">ك </w:t>
      </w:r>
      <w:r>
        <w:rPr>
          <w:rFonts w:cs="Abz-2 (Badr)" w:hint="cs"/>
          <w:color w:val="000000" w:themeColor="text1"/>
          <w:sz w:val="28"/>
          <w:szCs w:val="28"/>
          <w:rtl/>
          <w:lang w:bidi="fa-IR"/>
        </w:rPr>
        <w:t>فرموده</w:t>
      </w:r>
      <w:r>
        <w:rPr>
          <w:rFonts w:cs="Abz-2 (Badr)"/>
          <w:color w:val="000000" w:themeColor="text1"/>
          <w:sz w:val="28"/>
          <w:szCs w:val="28"/>
          <w:rtl/>
          <w:lang w:bidi="fa-IR"/>
        </w:rPr>
        <w:softHyphen/>
      </w:r>
      <w:r>
        <w:rPr>
          <w:rFonts w:cs="Abz-2 (Badr)" w:hint="cs"/>
          <w:color w:val="000000" w:themeColor="text1"/>
          <w:sz w:val="28"/>
          <w:szCs w:val="28"/>
          <w:rtl/>
          <w:lang w:bidi="fa-IR"/>
        </w:rPr>
        <w:t>اند.</w:t>
      </w:r>
    </w:p>
    <w:p w14:paraId="6E0DDC09" w14:textId="77777777" w:rsidR="00BF51AC" w:rsidRDefault="00BF51AC" w:rsidP="00BF51AC">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اما صاحب جواهر در خصوص مدعای شهيد ثانی در خصوص عدم جريان اصل برائت در اين مقام توضيحی ارائه کرده و سپس بر آن ايراد وارد کرده</w:t>
      </w:r>
      <w:r>
        <w:rPr>
          <w:rFonts w:cs="Abz-2 (Badr)"/>
          <w:color w:val="000000" w:themeColor="text1"/>
          <w:sz w:val="28"/>
          <w:szCs w:val="28"/>
          <w:rtl/>
          <w:lang w:bidi="fa-IR"/>
        </w:rPr>
        <w:softHyphen/>
      </w:r>
      <w:r>
        <w:rPr>
          <w:rFonts w:cs="Abz-2 (Badr)" w:hint="cs"/>
          <w:color w:val="000000" w:themeColor="text1"/>
          <w:sz w:val="28"/>
          <w:szCs w:val="28"/>
          <w:rtl/>
          <w:lang w:bidi="fa-IR"/>
        </w:rPr>
        <w:t>اند که جلسه آينده به بررسی مدعای ايشان خواهيم پرداخت ان شاء الله.</w:t>
      </w:r>
    </w:p>
    <w:p w14:paraId="24BF3A76" w14:textId="77777777" w:rsidR="00BF51AC" w:rsidRDefault="00BF51AC" w:rsidP="00BF51AC">
      <w:pPr>
        <w:rPr>
          <w:rFonts w:cs="Abz-2 (Badr)"/>
          <w:color w:val="000000" w:themeColor="text1"/>
          <w:sz w:val="28"/>
          <w:szCs w:val="28"/>
          <w:rtl/>
          <w:lang w:bidi="fa-IR"/>
        </w:rPr>
      </w:pPr>
      <w:r>
        <w:rPr>
          <w:rFonts w:cs="Abz-2 (Badr)"/>
          <w:color w:val="000000" w:themeColor="text1"/>
          <w:sz w:val="28"/>
          <w:szCs w:val="28"/>
          <w:rtl/>
          <w:lang w:bidi="fa-IR"/>
        </w:rPr>
        <w:lastRenderedPageBreak/>
        <w:br w:type="page"/>
      </w:r>
    </w:p>
    <w:p w14:paraId="573277A4" w14:textId="77777777" w:rsidR="00BF51AC" w:rsidRDefault="00BF51AC" w:rsidP="00BF51AC">
      <w:pPr>
        <w:widowControl w:val="0"/>
        <w:bidi/>
        <w:spacing w:after="0"/>
        <w:ind w:firstLine="284"/>
        <w:jc w:val="both"/>
        <w:rPr>
          <w:rFonts w:cs="Abz-2 (Badr)"/>
          <w:color w:val="000000" w:themeColor="text1"/>
          <w:sz w:val="28"/>
          <w:szCs w:val="28"/>
          <w:rtl/>
        </w:rPr>
      </w:pPr>
      <w:r>
        <w:rPr>
          <w:rFonts w:cs="Abz-2 (Badr)" w:hint="cs"/>
          <w:color w:val="000000" w:themeColor="text1"/>
          <w:sz w:val="28"/>
          <w:szCs w:val="28"/>
          <w:rtl/>
        </w:rPr>
        <w:lastRenderedPageBreak/>
        <w:t xml:space="preserve">قلنا في الجلسة السابقة أنّ </w:t>
      </w:r>
      <w:r w:rsidRPr="001E7A34">
        <w:rPr>
          <w:rFonts w:cs="Abz-2 (Badr)"/>
          <w:color w:val="000000" w:themeColor="text1"/>
          <w:sz w:val="28"/>
          <w:szCs w:val="28"/>
          <w:rtl/>
        </w:rPr>
        <w:t>محلّ البحث في هذا المقام هو أنّ ما يكون في مقام الإثبات سبباً لوجوب نفقة الزوجة على الزوج هل هو مجرّد العقد بحيث يجب على الزوج الإنفاق ما لم يثبت نشوز الزوجة، أم أنّه لابدّ بعد العقد من إثبات تمكين الزوجة للزوج ليجب عليه الإنفاق؟</w:t>
      </w:r>
    </w:p>
    <w:p w14:paraId="46249FF3" w14:textId="77777777" w:rsidR="00BF51AC" w:rsidRPr="00321C80" w:rsidRDefault="00BF51AC" w:rsidP="00BF51AC">
      <w:pPr>
        <w:widowControl w:val="0"/>
        <w:bidi/>
        <w:spacing w:after="0" w:line="257" w:lineRule="auto"/>
        <w:ind w:firstLine="284"/>
        <w:jc w:val="both"/>
        <w:rPr>
          <w:rFonts w:cs="Abz-2 (Badr)"/>
          <w:color w:val="0070C0"/>
          <w:sz w:val="28"/>
          <w:szCs w:val="28"/>
          <w:rtl/>
          <w:lang w:bidi="ar"/>
        </w:rPr>
      </w:pPr>
      <w:r w:rsidRPr="00565429">
        <w:rPr>
          <w:rFonts w:cs="Abz-2 (Badr)"/>
          <w:color w:val="000000" w:themeColor="text1"/>
          <w:sz w:val="28"/>
          <w:szCs w:val="28"/>
          <w:rtl/>
        </w:rPr>
        <w:t xml:space="preserve">وقد </w:t>
      </w:r>
      <w:r>
        <w:rPr>
          <w:rFonts w:cs="Abz-2 (Badr)" w:hint="cs"/>
          <w:color w:val="000000" w:themeColor="text1"/>
          <w:sz w:val="28"/>
          <w:szCs w:val="28"/>
          <w:rtl/>
        </w:rPr>
        <w:t>عدّ</w:t>
      </w:r>
      <w:r w:rsidRPr="00565429">
        <w:rPr>
          <w:rFonts w:cs="Abz-2 (Badr)"/>
          <w:color w:val="000000" w:themeColor="text1"/>
          <w:sz w:val="28"/>
          <w:szCs w:val="28"/>
          <w:rtl/>
        </w:rPr>
        <w:t xml:space="preserve"> </w:t>
      </w:r>
      <w:r>
        <w:rPr>
          <w:rFonts w:cs="Abz-2 (Badr)" w:hint="cs"/>
          <w:color w:val="000000" w:themeColor="text1"/>
          <w:sz w:val="28"/>
          <w:szCs w:val="28"/>
          <w:rtl/>
        </w:rPr>
        <w:t>صاحب المسالك</w:t>
      </w:r>
      <w:r w:rsidRPr="00565429">
        <w:rPr>
          <w:rFonts w:cs="Abz-2 (Badr)" w:hint="cs"/>
          <w:color w:val="000000" w:themeColor="text1"/>
          <w:sz w:val="28"/>
          <w:szCs w:val="28"/>
          <w:rtl/>
        </w:rPr>
        <w:t xml:space="preserve"> </w:t>
      </w:r>
      <w:r w:rsidRPr="00565429">
        <w:rPr>
          <w:rFonts w:cs="Abz-2 (Badr)"/>
          <w:color w:val="000000" w:themeColor="text1"/>
          <w:sz w:val="28"/>
          <w:szCs w:val="28"/>
          <w:rtl/>
        </w:rPr>
        <w:t>أدلّة القول الثاني على النحو التالي</w:t>
      </w:r>
      <w:r>
        <w:rPr>
          <w:rFonts w:cs="Abz-2 (Badr)" w:hint="cs"/>
          <w:color w:val="000000" w:themeColor="text1"/>
          <w:sz w:val="28"/>
          <w:szCs w:val="28"/>
          <w:rtl/>
        </w:rPr>
        <w:t xml:space="preserve">: </w:t>
      </w:r>
      <w:r w:rsidRPr="00321C80">
        <w:rPr>
          <w:rFonts w:cs="Abz-2 (Badr)" w:hint="cs"/>
          <w:color w:val="0070C0"/>
          <w:sz w:val="28"/>
          <w:szCs w:val="28"/>
          <w:rtl/>
          <w:lang w:bidi="fa-IR"/>
        </w:rPr>
        <w:t>«</w:t>
      </w:r>
      <w:r w:rsidRPr="00321C80">
        <w:rPr>
          <w:rFonts w:cs="Abz-2 (Badr)" w:hint="cs"/>
          <w:color w:val="0070C0"/>
          <w:sz w:val="28"/>
          <w:szCs w:val="28"/>
          <w:rtl/>
          <w:lang w:bidi="ar"/>
        </w:rPr>
        <w:t>لأنّ‌ المهر يجب به</w:t>
      </w:r>
      <w:r w:rsidRPr="00321C80">
        <w:rPr>
          <w:rFonts w:cs="Abz-2 (Badr)"/>
          <w:color w:val="000000" w:themeColor="text1"/>
          <w:sz w:val="28"/>
          <w:szCs w:val="28"/>
          <w:vertAlign w:val="superscript"/>
          <w:rtl/>
          <w:lang w:bidi="ar"/>
        </w:rPr>
        <w:footnoteReference w:id="5"/>
      </w:r>
      <w:r w:rsidRPr="00321C80">
        <w:rPr>
          <w:rFonts w:cs="Abz-2 (Badr)" w:hint="cs"/>
          <w:color w:val="000000" w:themeColor="text1"/>
          <w:sz w:val="28"/>
          <w:szCs w:val="28"/>
          <w:rtl/>
          <w:lang w:bidi="ar"/>
        </w:rPr>
        <w:t xml:space="preserve"> </w:t>
      </w:r>
      <w:r w:rsidRPr="00321C80">
        <w:rPr>
          <w:rFonts w:cs="Abz-2 (Badr)" w:hint="cs"/>
          <w:color w:val="0070C0"/>
          <w:sz w:val="28"/>
          <w:szCs w:val="28"/>
          <w:rtl/>
          <w:lang w:bidi="ar"/>
        </w:rPr>
        <w:t>والعقد لا يوجب عوضين مختلفين.</w:t>
      </w:r>
    </w:p>
    <w:p w14:paraId="06191129" w14:textId="77777777" w:rsidR="00BF51AC" w:rsidRPr="00321C80" w:rsidRDefault="00BF51AC" w:rsidP="00BF51AC">
      <w:pPr>
        <w:widowControl w:val="0"/>
        <w:bidi/>
        <w:spacing w:after="0" w:line="257" w:lineRule="auto"/>
        <w:ind w:firstLine="284"/>
        <w:jc w:val="both"/>
        <w:rPr>
          <w:rFonts w:cs="Abz-2 (Badr)"/>
          <w:color w:val="0070C0"/>
          <w:sz w:val="28"/>
          <w:szCs w:val="28"/>
          <w:rtl/>
          <w:lang w:bidi="ar"/>
        </w:rPr>
      </w:pPr>
      <w:r w:rsidRPr="00321C80">
        <w:rPr>
          <w:rFonts w:cs="Abz-2 (Badr)" w:hint="cs"/>
          <w:color w:val="0070C0"/>
          <w:sz w:val="28"/>
          <w:szCs w:val="28"/>
          <w:rtl/>
          <w:lang w:bidi="ar"/>
        </w:rPr>
        <w:t>ولأنّ‌ النّفقة مجهولة الجملة، والعقد لا يوجب مالاً مجهولاً.</w:t>
      </w:r>
    </w:p>
    <w:p w14:paraId="0AB40A3F" w14:textId="77777777" w:rsidR="00BF51AC" w:rsidRPr="00321C80" w:rsidRDefault="00BF51AC" w:rsidP="00BF51AC">
      <w:pPr>
        <w:widowControl w:val="0"/>
        <w:bidi/>
        <w:spacing w:after="0" w:line="257" w:lineRule="auto"/>
        <w:ind w:firstLine="284"/>
        <w:jc w:val="both"/>
        <w:rPr>
          <w:rFonts w:cs="Abz-2 (Badr)"/>
          <w:color w:val="0070C0"/>
          <w:sz w:val="28"/>
          <w:szCs w:val="28"/>
          <w:rtl/>
          <w:lang w:bidi="ar"/>
        </w:rPr>
      </w:pPr>
      <w:r w:rsidRPr="00321C80">
        <w:rPr>
          <w:rFonts w:cs="Abz-2 (Badr)" w:hint="cs"/>
          <w:color w:val="0070C0"/>
          <w:sz w:val="28"/>
          <w:szCs w:val="28"/>
          <w:rtl/>
          <w:lang w:bidi="ar"/>
        </w:rPr>
        <w:t>ولما روي أنّ النبيّ(ص) تزوّج ودخل بعد سنتين ولم ينفق إلا بعد دخوله.</w:t>
      </w:r>
    </w:p>
    <w:p w14:paraId="37F9B6C7" w14:textId="77777777" w:rsidR="00BF51AC" w:rsidRPr="00321C80" w:rsidRDefault="00BF51AC" w:rsidP="00BF51AC">
      <w:pPr>
        <w:widowControl w:val="0"/>
        <w:bidi/>
        <w:spacing w:after="0" w:line="257" w:lineRule="auto"/>
        <w:ind w:firstLine="284"/>
        <w:jc w:val="both"/>
        <w:rPr>
          <w:rFonts w:cs="Abz-2 (Badr)"/>
          <w:color w:val="0070C0"/>
          <w:sz w:val="28"/>
          <w:szCs w:val="28"/>
          <w:rtl/>
          <w:lang w:bidi="ar"/>
        </w:rPr>
      </w:pPr>
      <w:r w:rsidRPr="00321C80">
        <w:rPr>
          <w:rFonts w:cs="Abz-2 (Badr)" w:hint="cs"/>
          <w:color w:val="0070C0"/>
          <w:sz w:val="28"/>
          <w:szCs w:val="28"/>
          <w:rtl/>
          <w:lang w:bidi="ar"/>
        </w:rPr>
        <w:t>ولقوله(ص): «اتّقوا الله في النساء، فإنّهنّ‌ عوار عندكم، اتّخذتموهنّ‌ بأمانة الله، واستحللتم فروجهنّ‌ بكلمة الله، ولهنّ‌ عليكم رزقهنّ‌ وكسوتهنّ‌ بالمعروف»</w:t>
      </w:r>
      <w:r w:rsidRPr="00321C80">
        <w:rPr>
          <w:rFonts w:cs="Abz-2 (Badr)"/>
          <w:color w:val="000000" w:themeColor="text1"/>
          <w:sz w:val="28"/>
          <w:szCs w:val="28"/>
          <w:vertAlign w:val="superscript"/>
          <w:rtl/>
          <w:lang w:bidi="ar"/>
        </w:rPr>
        <w:footnoteReference w:id="6"/>
      </w:r>
      <w:r w:rsidRPr="00321C80">
        <w:rPr>
          <w:rFonts w:cs="Abz-2 (Badr)" w:hint="cs"/>
          <w:color w:val="000000" w:themeColor="text1"/>
          <w:sz w:val="28"/>
          <w:szCs w:val="28"/>
          <w:rtl/>
          <w:lang w:bidi="ar"/>
        </w:rPr>
        <w:t xml:space="preserve"> </w:t>
      </w:r>
      <w:r w:rsidRPr="00321C80">
        <w:rPr>
          <w:rFonts w:cs="Abz-2 (Badr)" w:hint="cs"/>
          <w:color w:val="0070C0"/>
          <w:sz w:val="28"/>
          <w:szCs w:val="28"/>
          <w:rtl/>
          <w:lang w:bidi="ar"/>
        </w:rPr>
        <w:t>أوجب لهنّ‌ إذا كنّ‌ عند الرجال، وهو يدلّ‌ على التمكين.</w:t>
      </w:r>
    </w:p>
    <w:p w14:paraId="01E5CA5C" w14:textId="77777777" w:rsidR="00BF51AC" w:rsidRPr="00321C80" w:rsidRDefault="00BF51AC" w:rsidP="00BF51AC">
      <w:pPr>
        <w:widowControl w:val="0"/>
        <w:bidi/>
        <w:spacing w:after="0" w:line="257" w:lineRule="auto"/>
        <w:ind w:firstLine="284"/>
        <w:jc w:val="both"/>
        <w:rPr>
          <w:rFonts w:cs="Abz-2 (Badr)"/>
          <w:color w:val="000000" w:themeColor="text1"/>
          <w:sz w:val="28"/>
          <w:szCs w:val="28"/>
          <w:rtl/>
          <w:lang w:bidi="fa-IR"/>
        </w:rPr>
      </w:pPr>
      <w:r w:rsidRPr="00321C80">
        <w:rPr>
          <w:rFonts w:cs="Abz-2 (Badr)" w:hint="cs"/>
          <w:color w:val="0070C0"/>
          <w:sz w:val="28"/>
          <w:szCs w:val="28"/>
          <w:rtl/>
          <w:lang w:bidi="ar"/>
        </w:rPr>
        <w:t>ولأنّ الأصل براءة الذمّة من وجوب النفقة، خرج منه حالة التمكين بالإجماع فيبقى الباقي على الأصل.»</w:t>
      </w:r>
      <w:r w:rsidRPr="00321C80">
        <w:rPr>
          <w:rFonts w:cs="Abz-2 (Badr)"/>
          <w:color w:val="000000" w:themeColor="text1"/>
          <w:sz w:val="28"/>
          <w:szCs w:val="28"/>
          <w:vertAlign w:val="superscript"/>
          <w:rtl/>
          <w:lang w:bidi="ar"/>
        </w:rPr>
        <w:footnoteReference w:id="7"/>
      </w:r>
    </w:p>
    <w:p w14:paraId="6790EBA2" w14:textId="77777777" w:rsidR="00BF51AC" w:rsidRPr="00321C80" w:rsidRDefault="00BF51AC" w:rsidP="00BF51AC">
      <w:pPr>
        <w:widowControl w:val="0"/>
        <w:bidi/>
        <w:spacing w:after="0" w:line="257" w:lineRule="auto"/>
        <w:ind w:firstLine="284"/>
        <w:jc w:val="both"/>
        <w:rPr>
          <w:rFonts w:cs="Abz-2 (Badr)"/>
          <w:color w:val="0070C0"/>
          <w:sz w:val="28"/>
          <w:szCs w:val="28"/>
          <w:rtl/>
          <w:lang w:bidi="ar"/>
        </w:rPr>
      </w:pPr>
      <w:r w:rsidRPr="00565429">
        <w:rPr>
          <w:rFonts w:cs="Abz-2 (Badr)"/>
          <w:color w:val="000000" w:themeColor="text1"/>
          <w:sz w:val="28"/>
          <w:szCs w:val="28"/>
          <w:rtl/>
        </w:rPr>
        <w:t>إلّا أنّه قد أشكل في متابعة كلامه في هذه الأدل</w:t>
      </w:r>
      <w:r>
        <w:rPr>
          <w:rFonts w:cs="Abz-2 (Badr)" w:hint="cs"/>
          <w:color w:val="000000" w:themeColor="text1"/>
          <w:sz w:val="28"/>
          <w:szCs w:val="28"/>
          <w:rtl/>
        </w:rPr>
        <w:t>ّ</w:t>
      </w:r>
      <w:r w:rsidRPr="00565429">
        <w:rPr>
          <w:rFonts w:cs="Abz-2 (Badr)"/>
          <w:color w:val="000000" w:themeColor="text1"/>
          <w:sz w:val="28"/>
          <w:szCs w:val="28"/>
          <w:rtl/>
        </w:rPr>
        <w:t>ة فقال</w:t>
      </w:r>
      <w:r w:rsidRPr="00321C80">
        <w:rPr>
          <w:rFonts w:cs="Abz-2 (Badr)" w:hint="cs"/>
          <w:color w:val="000000" w:themeColor="text1"/>
          <w:sz w:val="28"/>
          <w:szCs w:val="28"/>
          <w:rtl/>
          <w:lang w:bidi="fa-IR"/>
        </w:rPr>
        <w:t xml:space="preserve">: </w:t>
      </w:r>
      <w:r w:rsidRPr="00321C80">
        <w:rPr>
          <w:rFonts w:cs="Abz-2 (Badr)" w:hint="cs"/>
          <w:color w:val="0070C0"/>
          <w:sz w:val="28"/>
          <w:szCs w:val="28"/>
          <w:rtl/>
          <w:lang w:bidi="fa-IR"/>
        </w:rPr>
        <w:t>«</w:t>
      </w:r>
      <w:r w:rsidRPr="00321C80">
        <w:rPr>
          <w:rFonts w:cs="Abz-2 (Badr)" w:hint="cs"/>
          <w:color w:val="0070C0"/>
          <w:sz w:val="28"/>
          <w:szCs w:val="28"/>
          <w:rtl/>
          <w:lang w:bidi="ar"/>
        </w:rPr>
        <w:t>في جميع هذه الأدلّة نظر؛ لأنّ عدم إيجاب العقد عوضين مختلفين وعدم إيجابه مالاً مجهولاً مجرّد دعوىً أو استبعاد قد دلّ‌ الدليل على خلافهما، فإنّ الآيات الدالّة على وجوب الإنفاق على الزوجة من غير تقييد تدلّ‌ على أنّ العقد أوجب النفقة على ذلك الوجه، وأيّ‌ مانع من إيجاب العقد أمرين مختلفين كما في شراء الدابّة والمملوك‌؟ فإن العقد يوجب الثمن كالمهر ويوجب الإنفاق المجهول من غير شرط إجماعاً.</w:t>
      </w:r>
    </w:p>
    <w:p w14:paraId="3DAC993E" w14:textId="77777777" w:rsidR="00BF51AC" w:rsidRPr="00321C80" w:rsidRDefault="00BF51AC" w:rsidP="00BF51AC">
      <w:pPr>
        <w:widowControl w:val="0"/>
        <w:bidi/>
        <w:spacing w:after="0" w:line="257" w:lineRule="auto"/>
        <w:ind w:firstLine="284"/>
        <w:jc w:val="both"/>
        <w:rPr>
          <w:rFonts w:cs="Abz-2 (Badr)"/>
          <w:color w:val="0070C0"/>
          <w:sz w:val="28"/>
          <w:szCs w:val="28"/>
          <w:rtl/>
        </w:rPr>
      </w:pPr>
      <w:r w:rsidRPr="00321C80">
        <w:rPr>
          <w:rFonts w:cs="Abz-2 (Badr)" w:hint="cs"/>
          <w:color w:val="0070C0"/>
          <w:sz w:val="28"/>
          <w:szCs w:val="28"/>
          <w:rtl/>
          <w:lang w:bidi="ar"/>
        </w:rPr>
        <w:t>وعدم إنفاق النبيّ(ص) قبل الدخول ـ لو سلّم ـ لا يدلّ‌ على عدم الوجوب بإحدى الدلالات.</w:t>
      </w:r>
    </w:p>
    <w:p w14:paraId="217FC5E1" w14:textId="77777777" w:rsidR="00BF51AC" w:rsidRPr="00321C80" w:rsidRDefault="00BF51AC" w:rsidP="00BF51AC">
      <w:pPr>
        <w:widowControl w:val="0"/>
        <w:bidi/>
        <w:spacing w:after="0" w:line="257" w:lineRule="auto"/>
        <w:ind w:firstLine="284"/>
        <w:jc w:val="both"/>
        <w:rPr>
          <w:rFonts w:cs="Abz-2 (Badr)"/>
          <w:color w:val="0070C0"/>
          <w:sz w:val="28"/>
          <w:szCs w:val="28"/>
          <w:rtl/>
          <w:lang w:bidi="ar"/>
        </w:rPr>
      </w:pPr>
      <w:r w:rsidRPr="00321C80">
        <w:rPr>
          <w:rFonts w:cs="Abz-2 (Badr)" w:hint="cs"/>
          <w:color w:val="0070C0"/>
          <w:sz w:val="28"/>
          <w:szCs w:val="28"/>
          <w:rtl/>
          <w:lang w:bidi="ar"/>
        </w:rPr>
        <w:t>والخبر يدلّ‌ على خلاف مطلوبكم، لأنّ الضمير في قوله(ص): «ولهنّ‌ عليكم رزقهنّ‌» يعود إلى النساء المصدّر بذكرهنّ‌، وهنّ‌ أعمّ‌ من الممكّنات. ووصفهنّ‌ بالوصفين لا يدلّ‌ على التمكين المدّعى كونه شرطاً أو سبباً، لأنّ استحلال فروجهنّ‌ يحصل مع التمكين التامّ وعدمه.</w:t>
      </w:r>
    </w:p>
    <w:p w14:paraId="3DD700DC" w14:textId="77777777" w:rsidR="00BF51AC" w:rsidRDefault="00BF51AC" w:rsidP="00BF51AC">
      <w:pPr>
        <w:widowControl w:val="0"/>
        <w:bidi/>
        <w:spacing w:after="0" w:line="257" w:lineRule="auto"/>
        <w:ind w:firstLine="284"/>
        <w:jc w:val="both"/>
        <w:rPr>
          <w:rFonts w:cs="Abz-2 (Badr)"/>
          <w:color w:val="0070C0"/>
          <w:sz w:val="28"/>
          <w:szCs w:val="28"/>
          <w:rtl/>
          <w:lang w:bidi="ar"/>
        </w:rPr>
      </w:pPr>
      <w:r w:rsidRPr="00321C80">
        <w:rPr>
          <w:rFonts w:cs="Abz-2 (Badr)" w:hint="cs"/>
          <w:color w:val="0070C0"/>
          <w:sz w:val="28"/>
          <w:szCs w:val="28"/>
          <w:rtl/>
          <w:lang w:bidi="ar"/>
        </w:rPr>
        <w:lastRenderedPageBreak/>
        <w:t>وأمّا أصالة البراءة فإنّما تكون حجّة مع عدم دليل ناقل عنه، لكنّه موجود هنا بالعمومات الدالّة على وجوب نفقة الأزواج، والأصل عدم التخصيص.»</w:t>
      </w:r>
      <w:r w:rsidRPr="00321C80">
        <w:rPr>
          <w:rFonts w:cs="Abz-2 (Badr)"/>
          <w:color w:val="000000" w:themeColor="text1"/>
          <w:sz w:val="28"/>
          <w:szCs w:val="28"/>
          <w:vertAlign w:val="superscript"/>
          <w:rtl/>
          <w:lang w:bidi="ar"/>
        </w:rPr>
        <w:footnoteReference w:id="8"/>
      </w:r>
    </w:p>
    <w:p w14:paraId="7C48D3A1" w14:textId="77777777" w:rsidR="00BF51AC" w:rsidRDefault="00BF51AC" w:rsidP="00BF51AC">
      <w:pPr>
        <w:widowControl w:val="0"/>
        <w:bidi/>
        <w:spacing w:after="0"/>
        <w:ind w:firstLine="284"/>
        <w:jc w:val="both"/>
        <w:rPr>
          <w:rFonts w:cs="Abz-2 (Badr)"/>
          <w:color w:val="000000" w:themeColor="text1"/>
          <w:sz w:val="28"/>
          <w:szCs w:val="28"/>
          <w:rtl/>
          <w:lang w:bidi="fa-IR"/>
        </w:rPr>
      </w:pPr>
      <w:r w:rsidRPr="003A62B5">
        <w:rPr>
          <w:rFonts w:cs="Abz-2 (Badr)" w:hint="cs"/>
          <w:b/>
          <w:bCs/>
          <w:color w:val="000000" w:themeColor="text1"/>
          <w:sz w:val="28"/>
          <w:szCs w:val="28"/>
          <w:rtl/>
          <w:lang w:bidi="fa-IR"/>
        </w:rPr>
        <w:t>أقول:</w:t>
      </w:r>
      <w:r>
        <w:rPr>
          <w:rFonts w:cs="Abz-2 (Badr)" w:hint="cs"/>
          <w:color w:val="000000" w:themeColor="text1"/>
          <w:sz w:val="28"/>
          <w:szCs w:val="28"/>
          <w:rtl/>
          <w:lang w:bidi="fa-IR"/>
        </w:rPr>
        <w:t xml:space="preserve"> </w:t>
      </w:r>
      <w:r w:rsidRPr="00C94982">
        <w:rPr>
          <w:rFonts w:cs="Abz-2 (Badr)"/>
          <w:color w:val="000000" w:themeColor="text1"/>
          <w:sz w:val="28"/>
          <w:szCs w:val="28"/>
          <w:rtl/>
        </w:rPr>
        <w:t>الأرجح في الإشكال على الاستدلالين الأو</w:t>
      </w:r>
      <w:r>
        <w:rPr>
          <w:rFonts w:cs="Abz-2 (Badr)" w:hint="cs"/>
          <w:color w:val="000000" w:themeColor="text1"/>
          <w:sz w:val="28"/>
          <w:szCs w:val="28"/>
          <w:rtl/>
        </w:rPr>
        <w:t>ّ</w:t>
      </w:r>
      <w:r w:rsidRPr="00C94982">
        <w:rPr>
          <w:rFonts w:cs="Abz-2 (Badr)"/>
          <w:color w:val="000000" w:themeColor="text1"/>
          <w:sz w:val="28"/>
          <w:szCs w:val="28"/>
          <w:rtl/>
        </w:rPr>
        <w:t>ل والثاني أن يقال: إنّ عقد النكاح ليس من العقود المعاوضي</w:t>
      </w:r>
      <w:r>
        <w:rPr>
          <w:rFonts w:cs="Abz-2 (Badr)" w:hint="cs"/>
          <w:color w:val="000000" w:themeColor="text1"/>
          <w:sz w:val="28"/>
          <w:szCs w:val="28"/>
          <w:rtl/>
        </w:rPr>
        <w:t>ّ</w:t>
      </w:r>
      <w:r w:rsidRPr="00C94982">
        <w:rPr>
          <w:rFonts w:cs="Abz-2 (Badr)"/>
          <w:color w:val="000000" w:themeColor="text1"/>
          <w:sz w:val="28"/>
          <w:szCs w:val="28"/>
          <w:rtl/>
        </w:rPr>
        <w:t>ة، ولا يحتسب المهر ولا النفقة عوضا</w:t>
      </w:r>
      <w:r>
        <w:rPr>
          <w:rFonts w:cs="Abz-2 (Badr)" w:hint="cs"/>
          <w:color w:val="000000" w:themeColor="text1"/>
          <w:sz w:val="28"/>
          <w:szCs w:val="28"/>
          <w:rtl/>
        </w:rPr>
        <w:t>ً</w:t>
      </w:r>
      <w:r w:rsidRPr="00C94982">
        <w:rPr>
          <w:rFonts w:cs="Abz-2 (Badr)"/>
          <w:color w:val="000000" w:themeColor="text1"/>
          <w:sz w:val="28"/>
          <w:szCs w:val="28"/>
          <w:rtl/>
        </w:rPr>
        <w:t xml:space="preserve"> فيه، كما أنّ البضع أيضا</w:t>
      </w:r>
      <w:r>
        <w:rPr>
          <w:rFonts w:cs="Abz-2 (Badr)" w:hint="cs"/>
          <w:color w:val="000000" w:themeColor="text1"/>
          <w:sz w:val="28"/>
          <w:szCs w:val="28"/>
          <w:rtl/>
        </w:rPr>
        <w:t>ً</w:t>
      </w:r>
      <w:r w:rsidRPr="00C94982">
        <w:rPr>
          <w:rFonts w:cs="Abz-2 (Badr)"/>
          <w:color w:val="000000" w:themeColor="text1"/>
          <w:sz w:val="28"/>
          <w:szCs w:val="28"/>
          <w:rtl/>
        </w:rPr>
        <w:t xml:space="preserve"> لا يعدّ معوّضا</w:t>
      </w:r>
      <w:r>
        <w:rPr>
          <w:rFonts w:cs="Abz-2 (Badr)" w:hint="cs"/>
          <w:color w:val="000000" w:themeColor="text1"/>
          <w:sz w:val="28"/>
          <w:szCs w:val="28"/>
          <w:rtl/>
        </w:rPr>
        <w:t>ً</w:t>
      </w:r>
      <w:r w:rsidRPr="00C94982">
        <w:rPr>
          <w:rFonts w:cs="Abz-2 (Badr)"/>
          <w:color w:val="000000" w:themeColor="text1"/>
          <w:sz w:val="28"/>
          <w:szCs w:val="28"/>
          <w:rtl/>
        </w:rPr>
        <w:t>، بل إنّ وجوب المهر والنفقة مبتنٍ على حكم الشارع بوجوب إعطائهما إلى الزوجة بواسطة الزوج. ويؤيّد ذلك أنّ فقدانهما في أنكحة بعض غير المسلمين لا يضرّ بصدق النكاح على العقد الواقع بينهم، بينما لو كانا عوضا</w:t>
      </w:r>
      <w:r>
        <w:rPr>
          <w:rFonts w:cs="Abz-2 (Badr)" w:hint="cs"/>
          <w:color w:val="000000" w:themeColor="text1"/>
          <w:sz w:val="28"/>
          <w:szCs w:val="28"/>
          <w:rtl/>
        </w:rPr>
        <w:t>ً</w:t>
      </w:r>
      <w:r w:rsidRPr="00C94982">
        <w:rPr>
          <w:rFonts w:cs="Abz-2 (Badr)"/>
          <w:color w:val="000000" w:themeColor="text1"/>
          <w:sz w:val="28"/>
          <w:szCs w:val="28"/>
          <w:rtl/>
        </w:rPr>
        <w:t xml:space="preserve"> في العقد، لزم من فقدانهما </w:t>
      </w:r>
      <w:r>
        <w:rPr>
          <w:rFonts w:cs="Abz-2 (Badr)" w:hint="cs"/>
          <w:color w:val="000000" w:themeColor="text1"/>
          <w:sz w:val="28"/>
          <w:szCs w:val="28"/>
          <w:rtl/>
        </w:rPr>
        <w:t>عدم تحقّق</w:t>
      </w:r>
      <w:r w:rsidRPr="00C94982">
        <w:rPr>
          <w:rFonts w:cs="Abz-2 (Badr)"/>
          <w:color w:val="000000" w:themeColor="text1"/>
          <w:sz w:val="28"/>
          <w:szCs w:val="28"/>
          <w:rtl/>
        </w:rPr>
        <w:t xml:space="preserve"> </w:t>
      </w:r>
      <w:r>
        <w:rPr>
          <w:rFonts w:cs="Abz-2 (Badr)" w:hint="cs"/>
          <w:color w:val="000000" w:themeColor="text1"/>
          <w:sz w:val="28"/>
          <w:szCs w:val="28"/>
          <w:rtl/>
        </w:rPr>
        <w:t xml:space="preserve">النکاح </w:t>
      </w:r>
      <w:r w:rsidRPr="00C94982">
        <w:rPr>
          <w:rFonts w:cs="Abz-2 (Badr)"/>
          <w:color w:val="000000" w:themeColor="text1"/>
          <w:sz w:val="28"/>
          <w:szCs w:val="28"/>
          <w:rtl/>
        </w:rPr>
        <w:t>لفقد ركن من أركانه</w:t>
      </w:r>
      <w:r>
        <w:rPr>
          <w:rFonts w:cs="Abz-2 (Badr)" w:hint="cs"/>
          <w:color w:val="000000" w:themeColor="text1"/>
          <w:sz w:val="28"/>
          <w:szCs w:val="28"/>
          <w:rtl/>
        </w:rPr>
        <w:t>، کما لا يتحقّق البيع من دون الثمن أو المثمن.</w:t>
      </w:r>
    </w:p>
    <w:p w14:paraId="10EBD448" w14:textId="77777777" w:rsidR="00BF51AC" w:rsidRPr="00C94982" w:rsidRDefault="00BF51AC" w:rsidP="00BF51AC">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rPr>
        <w:t>و</w:t>
      </w:r>
      <w:r w:rsidRPr="00C94982">
        <w:rPr>
          <w:rFonts w:cs="Abz-2 (Badr)"/>
          <w:color w:val="000000" w:themeColor="text1"/>
          <w:sz w:val="28"/>
          <w:szCs w:val="28"/>
          <w:rtl/>
        </w:rPr>
        <w:t xml:space="preserve">أمّا عدم دلالة امتناع </w:t>
      </w:r>
      <w:r>
        <w:rPr>
          <w:rFonts w:cs="Abz-2 (Badr)" w:hint="cs"/>
          <w:color w:val="000000" w:themeColor="text1"/>
          <w:sz w:val="28"/>
          <w:szCs w:val="28"/>
          <w:rtl/>
        </w:rPr>
        <w:t xml:space="preserve">النبيّ(ص) من دفع </w:t>
      </w:r>
      <w:r w:rsidRPr="00C94982">
        <w:rPr>
          <w:rFonts w:cs="Abz-2 (Badr)"/>
          <w:color w:val="000000" w:themeColor="text1"/>
          <w:sz w:val="28"/>
          <w:szCs w:val="28"/>
          <w:rtl/>
        </w:rPr>
        <w:t xml:space="preserve">النفقة </w:t>
      </w:r>
      <w:r>
        <w:rPr>
          <w:rFonts w:cs="Abz-2 (Badr)" w:hint="cs"/>
          <w:color w:val="000000" w:themeColor="text1"/>
          <w:sz w:val="28"/>
          <w:szCs w:val="28"/>
          <w:rtl/>
        </w:rPr>
        <w:t xml:space="preserve">قبل الدخول </w:t>
      </w:r>
      <w:r w:rsidRPr="00C94982">
        <w:rPr>
          <w:rFonts w:cs="Abz-2 (Badr)"/>
          <w:color w:val="000000" w:themeColor="text1"/>
          <w:sz w:val="28"/>
          <w:szCs w:val="28"/>
          <w:rtl/>
        </w:rPr>
        <w:t xml:space="preserve">على المدّعى المذكور، فذلك لأنّه </w:t>
      </w:r>
      <w:r>
        <w:rPr>
          <w:rFonts w:cs="Abz-2 (Badr)" w:hint="cs"/>
          <w:color w:val="000000" w:themeColor="text1"/>
          <w:sz w:val="28"/>
          <w:szCs w:val="28"/>
          <w:rtl/>
        </w:rPr>
        <w:t>ـ</w:t>
      </w:r>
      <w:r w:rsidRPr="00C94982">
        <w:rPr>
          <w:rFonts w:cs="Abz-2 (Badr)"/>
          <w:color w:val="000000" w:themeColor="text1"/>
          <w:sz w:val="28"/>
          <w:szCs w:val="28"/>
          <w:rtl/>
        </w:rPr>
        <w:t xml:space="preserve"> لو </w:t>
      </w:r>
      <w:r>
        <w:rPr>
          <w:rFonts w:cs="Abz-2 (Badr)" w:hint="cs"/>
          <w:color w:val="000000" w:themeColor="text1"/>
          <w:sz w:val="28"/>
          <w:szCs w:val="28"/>
          <w:rtl/>
        </w:rPr>
        <w:t>سلّمنا</w:t>
      </w:r>
      <w:r w:rsidRPr="00C94982">
        <w:rPr>
          <w:rFonts w:cs="Abz-2 (Badr)"/>
          <w:color w:val="000000" w:themeColor="text1"/>
          <w:sz w:val="28"/>
          <w:szCs w:val="28"/>
          <w:rtl/>
        </w:rPr>
        <w:t xml:space="preserve"> بصح</w:t>
      </w:r>
      <w:r>
        <w:rPr>
          <w:rFonts w:cs="Abz-2 (Badr)" w:hint="cs"/>
          <w:color w:val="000000" w:themeColor="text1"/>
          <w:sz w:val="28"/>
          <w:szCs w:val="28"/>
          <w:rtl/>
        </w:rPr>
        <w:t>ّ</w:t>
      </w:r>
      <w:r w:rsidRPr="00C94982">
        <w:rPr>
          <w:rFonts w:cs="Abz-2 (Badr)"/>
          <w:color w:val="000000" w:themeColor="text1"/>
          <w:sz w:val="28"/>
          <w:szCs w:val="28"/>
          <w:rtl/>
        </w:rPr>
        <w:t>ة الخبر</w:t>
      </w:r>
      <w:r>
        <w:rPr>
          <w:rFonts w:cs="Abz-2 (Badr)" w:hint="cs"/>
          <w:color w:val="000000" w:themeColor="text1"/>
          <w:sz w:val="28"/>
          <w:szCs w:val="28"/>
          <w:rtl/>
        </w:rPr>
        <w:t xml:space="preserve"> ـ</w:t>
      </w:r>
      <w:r w:rsidRPr="00C94982">
        <w:rPr>
          <w:rFonts w:cs="Abz-2 (Badr)"/>
          <w:color w:val="000000" w:themeColor="text1"/>
          <w:sz w:val="28"/>
          <w:szCs w:val="28"/>
          <w:rtl/>
        </w:rPr>
        <w:t xml:space="preserve"> يتعل</w:t>
      </w:r>
      <w:r>
        <w:rPr>
          <w:rFonts w:cs="Abz-2 (Badr)" w:hint="cs"/>
          <w:color w:val="000000" w:themeColor="text1"/>
          <w:sz w:val="28"/>
          <w:szCs w:val="28"/>
          <w:rtl/>
        </w:rPr>
        <w:t>ّ</w:t>
      </w:r>
      <w:r w:rsidRPr="00C94982">
        <w:rPr>
          <w:rFonts w:cs="Abz-2 (Badr)"/>
          <w:color w:val="000000" w:themeColor="text1"/>
          <w:sz w:val="28"/>
          <w:szCs w:val="28"/>
          <w:rtl/>
        </w:rPr>
        <w:t>ق بقضي</w:t>
      </w:r>
      <w:r>
        <w:rPr>
          <w:rFonts w:cs="Abz-2 (Badr)" w:hint="cs"/>
          <w:color w:val="000000" w:themeColor="text1"/>
          <w:sz w:val="28"/>
          <w:szCs w:val="28"/>
          <w:rtl/>
        </w:rPr>
        <w:t>ّ</w:t>
      </w:r>
      <w:r w:rsidRPr="00C94982">
        <w:rPr>
          <w:rFonts w:cs="Abz-2 (Badr)"/>
          <w:color w:val="000000" w:themeColor="text1"/>
          <w:sz w:val="28"/>
          <w:szCs w:val="28"/>
          <w:rtl/>
        </w:rPr>
        <w:t>ة خارجي</w:t>
      </w:r>
      <w:r>
        <w:rPr>
          <w:rFonts w:cs="Abz-2 (Badr)" w:hint="cs"/>
          <w:color w:val="000000" w:themeColor="text1"/>
          <w:sz w:val="28"/>
          <w:szCs w:val="28"/>
          <w:rtl/>
        </w:rPr>
        <w:t>ّ</w:t>
      </w:r>
      <w:r w:rsidRPr="00C94982">
        <w:rPr>
          <w:rFonts w:cs="Abz-2 (Badr)"/>
          <w:color w:val="000000" w:themeColor="text1"/>
          <w:sz w:val="28"/>
          <w:szCs w:val="28"/>
          <w:rtl/>
        </w:rPr>
        <w:t xml:space="preserve">ة </w:t>
      </w:r>
      <w:r>
        <w:rPr>
          <w:rFonts w:cs="Abz-2 (Badr)" w:hint="cs"/>
          <w:color w:val="000000" w:themeColor="text1"/>
          <w:sz w:val="28"/>
          <w:szCs w:val="28"/>
          <w:rtl/>
        </w:rPr>
        <w:t>لا نعلم ب</w:t>
      </w:r>
      <w:r w:rsidRPr="00C94982">
        <w:rPr>
          <w:rFonts w:cs="Abz-2 (Badr)"/>
          <w:color w:val="000000" w:themeColor="text1"/>
          <w:sz w:val="28"/>
          <w:szCs w:val="28"/>
          <w:rtl/>
        </w:rPr>
        <w:t>خصوصي</w:t>
      </w:r>
      <w:r>
        <w:rPr>
          <w:rFonts w:cs="Abz-2 (Badr)" w:hint="cs"/>
          <w:color w:val="000000" w:themeColor="text1"/>
          <w:sz w:val="28"/>
          <w:szCs w:val="28"/>
          <w:rtl/>
        </w:rPr>
        <w:t>ّ</w:t>
      </w:r>
      <w:r w:rsidRPr="00C94982">
        <w:rPr>
          <w:rFonts w:cs="Abz-2 (Badr)"/>
          <w:color w:val="000000" w:themeColor="text1"/>
          <w:sz w:val="28"/>
          <w:szCs w:val="28"/>
          <w:rtl/>
        </w:rPr>
        <w:t>اتها، وبالتالي فإنّ الاستناد إلى فعل النبي</w:t>
      </w:r>
      <w:r>
        <w:rPr>
          <w:rFonts w:cs="Abz-2 (Badr)" w:hint="cs"/>
          <w:color w:val="000000" w:themeColor="text1"/>
          <w:sz w:val="28"/>
          <w:szCs w:val="28"/>
          <w:rtl/>
        </w:rPr>
        <w:t>ّ(ص)</w:t>
      </w:r>
      <w:r w:rsidRPr="00C94982">
        <w:rPr>
          <w:rFonts w:cs="Abz-2 (Badr)"/>
          <w:color w:val="000000" w:themeColor="text1"/>
          <w:sz w:val="28"/>
          <w:szCs w:val="28"/>
          <w:rtl/>
        </w:rPr>
        <w:t xml:space="preserve"> </w:t>
      </w:r>
      <w:r w:rsidRPr="00C94982">
        <w:rPr>
          <w:rFonts w:cs="Abz-2 (Badr)" w:hint="cs"/>
          <w:color w:val="000000" w:themeColor="text1"/>
          <w:sz w:val="28"/>
          <w:szCs w:val="28"/>
          <w:rtl/>
        </w:rPr>
        <w:t>لإثبات</w:t>
      </w:r>
      <w:r w:rsidRPr="00C94982">
        <w:rPr>
          <w:rFonts w:cs="Abz-2 (Badr)"/>
          <w:color w:val="000000" w:themeColor="text1"/>
          <w:sz w:val="28"/>
          <w:szCs w:val="28"/>
          <w:rtl/>
        </w:rPr>
        <w:t xml:space="preserve"> </w:t>
      </w:r>
      <w:r w:rsidRPr="00C94982">
        <w:rPr>
          <w:rFonts w:cs="Abz-2 (Badr)" w:hint="cs"/>
          <w:color w:val="000000" w:themeColor="text1"/>
          <w:sz w:val="28"/>
          <w:szCs w:val="28"/>
          <w:rtl/>
        </w:rPr>
        <w:t>اشتراط</w:t>
      </w:r>
      <w:r w:rsidRPr="00C94982">
        <w:rPr>
          <w:rFonts w:cs="Abz-2 (Badr)"/>
          <w:color w:val="000000" w:themeColor="text1"/>
          <w:sz w:val="28"/>
          <w:szCs w:val="28"/>
          <w:rtl/>
        </w:rPr>
        <w:t xml:space="preserve"> التمكين لوجوب النفقة لن يكون ممكنا</w:t>
      </w:r>
      <w:r>
        <w:rPr>
          <w:rFonts w:cs="Abz-2 (Badr)" w:hint="cs"/>
          <w:color w:val="000000" w:themeColor="text1"/>
          <w:sz w:val="28"/>
          <w:szCs w:val="28"/>
          <w:rtl/>
        </w:rPr>
        <w:t>ً.</w:t>
      </w:r>
    </w:p>
    <w:p w14:paraId="423B8D52" w14:textId="77777777" w:rsidR="00BF51AC" w:rsidRDefault="00BF51AC" w:rsidP="00BF51AC">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وإشکال الاستدلال بالخبر المنقول من الرسول الأکرم(ص) ـ علی فرض صحّة إسناده ـ هو ما أفاده الشهيد الثاني.</w:t>
      </w:r>
    </w:p>
    <w:p w14:paraId="01A9615A" w14:textId="77777777" w:rsidR="00BF51AC" w:rsidRDefault="00BF51AC" w:rsidP="00BF51AC">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إلّا أنّ صاحب الجواهر قد ذکر توضيحاً في خصوص دعوی صاحب المسال</w:t>
      </w:r>
      <w:r>
        <w:rPr>
          <w:rFonts w:cs="Abz-2 (Badr)" w:hint="cs"/>
          <w:color w:val="000000" w:themeColor="text1"/>
          <w:sz w:val="28"/>
          <w:szCs w:val="28"/>
          <w:rtl/>
        </w:rPr>
        <w:t>ك</w:t>
      </w:r>
      <w:r>
        <w:rPr>
          <w:rFonts w:cs="Abz-2 (Badr)" w:hint="cs"/>
          <w:color w:val="000000" w:themeColor="text1"/>
          <w:sz w:val="28"/>
          <w:szCs w:val="28"/>
          <w:rtl/>
          <w:lang w:bidi="fa-IR"/>
        </w:rPr>
        <w:t xml:space="preserve"> حول عدم جريان أصل البرائة في المقام ثمّ أشکال عليه وسنذکر کلامه في الجلسة القادمة إن شاء الله تعالی.</w:t>
      </w:r>
    </w:p>
    <w:p w14:paraId="5A087603" w14:textId="77777777" w:rsidR="00BF51AC" w:rsidRPr="001D56DB" w:rsidRDefault="00BF51AC" w:rsidP="00BF51AC">
      <w:pPr>
        <w:widowControl w:val="0"/>
        <w:bidi/>
        <w:spacing w:after="0"/>
        <w:ind w:firstLine="284"/>
        <w:jc w:val="both"/>
        <w:rPr>
          <w:rFonts w:cs="Abz-2 (Badr)"/>
          <w:color w:val="000000" w:themeColor="text1"/>
          <w:sz w:val="28"/>
          <w:szCs w:val="28"/>
          <w:rtl/>
          <w:lang w:bidi="fa-IR"/>
        </w:rPr>
      </w:pPr>
    </w:p>
    <w:bookmarkEnd w:id="1"/>
    <w:p w14:paraId="2AD04477" w14:textId="7D63A4A4" w:rsidR="00B706A3" w:rsidRPr="00896E18" w:rsidRDefault="00B706A3" w:rsidP="00896E18">
      <w:pPr>
        <w:rPr>
          <w:rtl/>
        </w:rPr>
      </w:pPr>
    </w:p>
    <w:sectPr w:rsidR="00B706A3" w:rsidRPr="00896E18" w:rsidSect="005815B4">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5AB83" w14:textId="77777777" w:rsidR="00F27E84" w:rsidRDefault="00F27E84" w:rsidP="00F71127">
      <w:pPr>
        <w:spacing w:after="0" w:line="240" w:lineRule="auto"/>
      </w:pPr>
      <w:r>
        <w:separator/>
      </w:r>
    </w:p>
  </w:endnote>
  <w:endnote w:type="continuationSeparator" w:id="0">
    <w:p w14:paraId="63E9AA4F" w14:textId="77777777" w:rsidR="00F27E84" w:rsidRDefault="00F27E84"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880C6" w14:textId="77777777" w:rsidR="00F27E84" w:rsidRDefault="00F27E84" w:rsidP="00EE25C0">
      <w:pPr>
        <w:bidi/>
        <w:spacing w:after="0" w:line="240" w:lineRule="auto"/>
      </w:pPr>
      <w:r>
        <w:separator/>
      </w:r>
    </w:p>
  </w:footnote>
  <w:footnote w:type="continuationSeparator" w:id="0">
    <w:p w14:paraId="7E288CD1" w14:textId="77777777" w:rsidR="00F27E84" w:rsidRDefault="00F27E84" w:rsidP="00F71127">
      <w:pPr>
        <w:bidi/>
        <w:spacing w:after="0" w:line="240" w:lineRule="auto"/>
      </w:pPr>
      <w:r>
        <w:continuationSeparator/>
      </w:r>
    </w:p>
  </w:footnote>
  <w:footnote w:id="1">
    <w:p w14:paraId="11A43366" w14:textId="77777777" w:rsidR="00BF51AC" w:rsidRDefault="00BF51AC" w:rsidP="00BF51AC">
      <w:pPr>
        <w:pStyle w:val="FootnoteText"/>
        <w:bidi/>
        <w:rPr>
          <w:rFonts w:cs="Abz-2 (Badr)"/>
          <w:rtl/>
          <w:lang w:bidi="fa-IR"/>
        </w:rPr>
      </w:pPr>
      <w:r w:rsidRPr="00321C80">
        <w:rPr>
          <w:rStyle w:val="FootnoteReference"/>
          <w:rFonts w:cs="Abz-2 (Badr)"/>
          <w:vertAlign w:val="baseline"/>
        </w:rPr>
        <w:footnoteRef/>
      </w:r>
      <w:r>
        <w:rPr>
          <w:rFonts w:cs="Abz-2 (Badr)" w:hint="cs"/>
          <w:rtl/>
        </w:rPr>
        <w:t xml:space="preserve"> ـ أي: العقد.</w:t>
      </w:r>
    </w:p>
  </w:footnote>
  <w:footnote w:id="2">
    <w:p w14:paraId="63549AFB" w14:textId="77777777" w:rsidR="00BF51AC" w:rsidRDefault="00BF51AC" w:rsidP="00BF51AC">
      <w:pPr>
        <w:pStyle w:val="FootnoteText"/>
        <w:bidi/>
        <w:rPr>
          <w:rFonts w:cs="Abz-2 (Badr)"/>
          <w:rtl/>
        </w:rPr>
      </w:pPr>
      <w:r>
        <w:rPr>
          <w:rFonts w:cs="Abz-2 (Badr)"/>
        </w:rPr>
        <w:footnoteRef/>
      </w:r>
      <w:r>
        <w:rPr>
          <w:rFonts w:cs="Abz-2 (Badr)" w:hint="cs"/>
          <w:rtl/>
        </w:rPr>
        <w:t xml:space="preserve">  </w:t>
      </w:r>
      <w:r>
        <w:rPr>
          <w:rFonts w:cs="Abz-2 (Badr)" w:hint="cs"/>
          <w:rtl/>
        </w:rPr>
        <w:t>ـ مسند أحمد،ج34،ص300.</w:t>
      </w:r>
    </w:p>
  </w:footnote>
  <w:footnote w:id="3">
    <w:p w14:paraId="3FCA8199" w14:textId="77777777" w:rsidR="00BF51AC" w:rsidRPr="00321C80" w:rsidRDefault="00BF51AC" w:rsidP="00BF51AC">
      <w:pPr>
        <w:pStyle w:val="FootnoteText"/>
        <w:bidi/>
        <w:rPr>
          <w:rFonts w:cs="Abz-2 (Badr)"/>
          <w:rtl/>
          <w:lang w:bidi="fa-IR"/>
        </w:rPr>
      </w:pPr>
      <w:r w:rsidRPr="00321C80">
        <w:rPr>
          <w:rStyle w:val="FootnoteReference"/>
          <w:rFonts w:cs="Abz-2 (Badr)"/>
          <w:vertAlign w:val="baseline"/>
        </w:rPr>
        <w:footnoteRef/>
      </w:r>
      <w:r w:rsidRPr="00321C80">
        <w:rPr>
          <w:rFonts w:cs="Abz-2 (Badr)" w:hint="cs"/>
          <w:rtl/>
        </w:rPr>
        <w:t xml:space="preserve"> </w:t>
      </w:r>
      <w:r w:rsidRPr="00321C80">
        <w:rPr>
          <w:rFonts w:cs="Abz-2 (Badr)" w:hint="cs"/>
          <w:rtl/>
        </w:rPr>
        <w:t xml:space="preserve">ـ </w:t>
      </w:r>
      <w:r w:rsidRPr="00321C80">
        <w:rPr>
          <w:rFonts w:cs="Abz-2 (Badr)" w:hint="cs"/>
          <w:rtl/>
        </w:rPr>
        <w:t>مسالك ال</w:t>
      </w:r>
      <w:r w:rsidRPr="00321C80">
        <w:rPr>
          <w:rFonts w:cs="Abz-2 (Badr)" w:hint="cs"/>
          <w:rtl/>
          <w:lang w:bidi="fa-IR"/>
        </w:rPr>
        <w:t>أفهام</w:t>
      </w:r>
      <w:r w:rsidRPr="00321C80">
        <w:rPr>
          <w:rFonts w:cs="Abz-2 (Badr)" w:hint="cs"/>
          <w:rtl/>
        </w:rPr>
        <w:t>،ج8،ص441.</w:t>
      </w:r>
    </w:p>
  </w:footnote>
  <w:footnote w:id="4">
    <w:p w14:paraId="56DAB26E" w14:textId="77777777" w:rsidR="00BF51AC" w:rsidRDefault="00BF51AC" w:rsidP="00BF51AC">
      <w:pPr>
        <w:pStyle w:val="FootnoteText"/>
        <w:bidi/>
        <w:rPr>
          <w:rFonts w:cs="Abz-2 (Badr)"/>
          <w:rtl/>
          <w:lang w:bidi="fa-IR"/>
        </w:rPr>
      </w:pPr>
      <w:r w:rsidRPr="00321C80">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همان،ص441 و 442.</w:t>
      </w:r>
    </w:p>
  </w:footnote>
  <w:footnote w:id="5">
    <w:p w14:paraId="1EFC1CBA" w14:textId="77777777" w:rsidR="00BF51AC" w:rsidRDefault="00BF51AC" w:rsidP="00BF51AC">
      <w:pPr>
        <w:pStyle w:val="FootnoteText"/>
        <w:bidi/>
        <w:rPr>
          <w:rFonts w:cs="Abz-2 (Badr)"/>
          <w:rtl/>
          <w:lang w:bidi="fa-IR"/>
        </w:rPr>
      </w:pPr>
      <w:r w:rsidRPr="00321C80">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أي: العقد.</w:t>
      </w:r>
    </w:p>
  </w:footnote>
  <w:footnote w:id="6">
    <w:p w14:paraId="48E6BB39" w14:textId="77777777" w:rsidR="00BF51AC" w:rsidRDefault="00BF51AC" w:rsidP="00BF51AC">
      <w:pPr>
        <w:pStyle w:val="FootnoteText"/>
        <w:bidi/>
        <w:rPr>
          <w:rFonts w:cs="Abz-2 (Badr)"/>
          <w:rtl/>
        </w:rPr>
      </w:pPr>
      <w:r>
        <w:rPr>
          <w:rFonts w:cs="Abz-2 (Badr)"/>
        </w:rPr>
        <w:footnoteRef/>
      </w:r>
      <w:r>
        <w:rPr>
          <w:rFonts w:cs="Abz-2 (Badr)" w:hint="cs"/>
          <w:rtl/>
        </w:rPr>
        <w:t xml:space="preserve">  </w:t>
      </w:r>
      <w:r>
        <w:rPr>
          <w:rFonts w:cs="Abz-2 (Badr)" w:hint="cs"/>
          <w:rtl/>
        </w:rPr>
        <w:t>ـ مسند أحمد،ج34،ص300.</w:t>
      </w:r>
    </w:p>
  </w:footnote>
  <w:footnote w:id="7">
    <w:p w14:paraId="56A967A0" w14:textId="77777777" w:rsidR="00BF51AC" w:rsidRPr="00321C80" w:rsidRDefault="00BF51AC" w:rsidP="00BF51AC">
      <w:pPr>
        <w:pStyle w:val="FootnoteText"/>
        <w:bidi/>
        <w:rPr>
          <w:rFonts w:cs="Abz-2 (Badr)"/>
          <w:rtl/>
          <w:lang w:bidi="fa-IR"/>
        </w:rPr>
      </w:pPr>
      <w:r w:rsidRPr="00321C80">
        <w:rPr>
          <w:rStyle w:val="FootnoteReference"/>
          <w:rFonts w:cs="Abz-2 (Badr)"/>
          <w:vertAlign w:val="baseline"/>
        </w:rPr>
        <w:footnoteRef/>
      </w:r>
      <w:r w:rsidRPr="00321C80">
        <w:rPr>
          <w:rFonts w:cs="Abz-2 (Badr)" w:hint="cs"/>
          <w:rtl/>
        </w:rPr>
        <w:t xml:space="preserve"> </w:t>
      </w:r>
      <w:r w:rsidRPr="00321C80">
        <w:rPr>
          <w:rFonts w:cs="Abz-2 (Badr)" w:hint="cs"/>
          <w:rtl/>
        </w:rPr>
        <w:t xml:space="preserve">ـ </w:t>
      </w:r>
      <w:r w:rsidRPr="00321C80">
        <w:rPr>
          <w:rFonts w:cs="Abz-2 (Badr)" w:hint="cs"/>
          <w:rtl/>
        </w:rPr>
        <w:t>مسالك ال</w:t>
      </w:r>
      <w:r w:rsidRPr="00321C80">
        <w:rPr>
          <w:rFonts w:cs="Abz-2 (Badr)" w:hint="cs"/>
          <w:rtl/>
          <w:lang w:bidi="fa-IR"/>
        </w:rPr>
        <w:t>أفهام</w:t>
      </w:r>
      <w:r w:rsidRPr="00321C80">
        <w:rPr>
          <w:rFonts w:cs="Abz-2 (Badr)" w:hint="cs"/>
          <w:rtl/>
        </w:rPr>
        <w:t>،ج8،ص441.</w:t>
      </w:r>
    </w:p>
  </w:footnote>
  <w:footnote w:id="8">
    <w:p w14:paraId="3BF950DF" w14:textId="77777777" w:rsidR="00BF51AC" w:rsidRDefault="00BF51AC" w:rsidP="00BF51AC">
      <w:pPr>
        <w:pStyle w:val="FootnoteText"/>
        <w:bidi/>
        <w:rPr>
          <w:rFonts w:cs="Abz-2 (Badr)"/>
          <w:rtl/>
          <w:lang w:bidi="fa-IR"/>
        </w:rPr>
      </w:pPr>
      <w:r w:rsidRPr="00321C80">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المصدر السابق،ص441 و 442.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3554269F"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BF51AC">
                            <w:rPr>
                              <w:rFonts w:cs="B Mehr" w:hint="cs"/>
                              <w:rtl/>
                              <w:lang w:bidi="fa-IR"/>
                            </w:rPr>
                            <w:t>12</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3554269F"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BF51AC">
                      <w:rPr>
                        <w:rFonts w:cs="B Mehr" w:hint="cs"/>
                        <w:rtl/>
                        <w:lang w:bidi="fa-IR"/>
                      </w:rPr>
                      <w:t>12</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21724</TotalTime>
  <Pages>1</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609</cp:revision>
  <cp:lastPrinted>2025-04-14T09:12:00Z</cp:lastPrinted>
  <dcterms:created xsi:type="dcterms:W3CDTF">2022-10-16T08:36:00Z</dcterms:created>
  <dcterms:modified xsi:type="dcterms:W3CDTF">2025-10-04T16:51:00Z</dcterms:modified>
</cp:coreProperties>
</file>