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D320A" w14:textId="77777777" w:rsidR="00896E18" w:rsidRPr="00652E92" w:rsidRDefault="00896E18" w:rsidP="00896E1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66A58857" w14:textId="77777777" w:rsidR="00896E18" w:rsidRPr="00652E92" w:rsidRDefault="00896E18" w:rsidP="00896E1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76C6238" w14:textId="77777777" w:rsidR="00896E18" w:rsidRPr="00652E92" w:rsidRDefault="00896E18" w:rsidP="00896E1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843</w:t>
      </w:r>
    </w:p>
    <w:p w14:paraId="1400FEC6" w14:textId="77777777" w:rsidR="00896E18" w:rsidRDefault="00896E18" w:rsidP="00896E18">
      <w:pPr>
        <w:widowControl w:val="0"/>
        <w:bidi/>
        <w:spacing w:after="0"/>
        <w:ind w:firstLine="284"/>
        <w:jc w:val="both"/>
        <w:rPr>
          <w:rFonts w:cs="Abz-2 (Badr)"/>
          <w:sz w:val="28"/>
          <w:szCs w:val="28"/>
          <w:rtl/>
          <w:lang w:bidi="fa-IR"/>
        </w:rPr>
      </w:pPr>
      <w:bookmarkStart w:id="0" w:name="_Hlk159096966"/>
    </w:p>
    <w:p w14:paraId="053AB24C" w14:textId="77777777" w:rsidR="00896E18" w:rsidRDefault="00896E18" w:rsidP="00896E18">
      <w:pPr>
        <w:widowControl w:val="0"/>
        <w:bidi/>
        <w:spacing w:after="0" w:line="257" w:lineRule="auto"/>
        <w:ind w:firstLine="284"/>
        <w:jc w:val="both"/>
        <w:rPr>
          <w:rFonts w:cs="Abz-2 (Badr)"/>
          <w:color w:val="000000" w:themeColor="text1"/>
          <w:sz w:val="28"/>
          <w:szCs w:val="28"/>
          <w:rtl/>
          <w:lang w:bidi="ar"/>
        </w:rPr>
      </w:pPr>
      <w:bookmarkStart w:id="1" w:name="_Hlk209798859"/>
      <w:bookmarkEnd w:id="0"/>
      <w:r>
        <w:rPr>
          <w:rFonts w:cs="Abz-2 (Badr)" w:hint="cs"/>
          <w:color w:val="000000" w:themeColor="text1"/>
          <w:sz w:val="28"/>
          <w:szCs w:val="28"/>
          <w:rtl/>
          <w:lang w:bidi="ar"/>
        </w:rPr>
        <w:t>گفتيم که علامه و کاشف اللثام قائل به لزوم تصريح لفظی زوجه به آمادگی برای تسليم خود به زوج برای استمتاع جهت حکم به تحقق تمکين وی شده</w:t>
      </w:r>
      <w:r>
        <w:rPr>
          <w:rFonts w:cs="Abz-2 (Badr)"/>
          <w:color w:val="000000" w:themeColor="text1"/>
          <w:sz w:val="28"/>
          <w:szCs w:val="28"/>
          <w:rtl/>
          <w:lang w:bidi="ar"/>
        </w:rPr>
        <w:softHyphen/>
      </w:r>
      <w:r>
        <w:rPr>
          <w:rFonts w:cs="Abz-2 (Badr)" w:hint="cs"/>
          <w:color w:val="000000" w:themeColor="text1"/>
          <w:sz w:val="28"/>
          <w:szCs w:val="28"/>
          <w:rtl/>
          <w:lang w:bidi="ar"/>
        </w:rPr>
        <w:t>اند.</w:t>
      </w:r>
    </w:p>
    <w:p w14:paraId="37D6C236" w14:textId="77777777" w:rsidR="00896E18" w:rsidRDefault="00896E18" w:rsidP="00896E18">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ar"/>
        </w:rPr>
        <w:t xml:space="preserve">ولی </w:t>
      </w:r>
      <w:r w:rsidRPr="00543D83">
        <w:rPr>
          <w:rFonts w:cs="Abz-2 (Badr)" w:hint="cs"/>
          <w:color w:val="000000" w:themeColor="text1"/>
          <w:sz w:val="28"/>
          <w:szCs w:val="28"/>
          <w:rtl/>
          <w:lang w:bidi="ar"/>
        </w:rPr>
        <w:t>شهيد ثانی در مسال</w:t>
      </w:r>
      <w:r w:rsidRPr="00543D83">
        <w:rPr>
          <w:rFonts w:cs="Abz-2 (Badr)" w:hint="cs"/>
          <w:color w:val="000000" w:themeColor="text1"/>
          <w:sz w:val="28"/>
          <w:szCs w:val="28"/>
          <w:rtl/>
        </w:rPr>
        <w:t xml:space="preserve">ك </w:t>
      </w:r>
      <w:r w:rsidRPr="00543D83">
        <w:rPr>
          <w:rFonts w:cs="Abz-2 (Badr)" w:hint="cs"/>
          <w:color w:val="000000" w:themeColor="text1"/>
          <w:sz w:val="28"/>
          <w:szCs w:val="28"/>
          <w:rtl/>
          <w:lang w:bidi="fa-IR"/>
        </w:rPr>
        <w:t xml:space="preserve">فرموده است: </w:t>
      </w:r>
      <w:r>
        <w:rPr>
          <w:rFonts w:cs="Abz-2 (Badr)" w:hint="cs"/>
          <w:color w:val="0070C0"/>
          <w:sz w:val="28"/>
          <w:szCs w:val="28"/>
          <w:rtl/>
          <w:lang w:bidi="fa-IR"/>
        </w:rPr>
        <w:t>«إ</w:t>
      </w:r>
      <w:r w:rsidRPr="00543D83">
        <w:rPr>
          <w:rFonts w:cs="Abz-2 (Badr)"/>
          <w:color w:val="0070C0"/>
          <w:sz w:val="28"/>
          <w:szCs w:val="28"/>
          <w:rtl/>
          <w:lang w:bidi="ar"/>
        </w:rPr>
        <w:t>ن</w:t>
      </w:r>
      <w:r>
        <w:rPr>
          <w:rFonts w:cs="Abz-2 (Badr)" w:hint="cs"/>
          <w:color w:val="0070C0"/>
          <w:sz w:val="28"/>
          <w:szCs w:val="28"/>
          <w:rtl/>
          <w:lang w:bidi="ar"/>
        </w:rPr>
        <w:t>ّ</w:t>
      </w:r>
      <w:r w:rsidRPr="00543D83">
        <w:rPr>
          <w:rFonts w:cs="Abz-2 (Badr)"/>
          <w:color w:val="0070C0"/>
          <w:sz w:val="28"/>
          <w:szCs w:val="28"/>
          <w:rtl/>
          <w:lang w:bidi="ar"/>
        </w:rPr>
        <w:t xml:space="preserve"> الظاهر من كلام المصن</w:t>
      </w:r>
      <w:r>
        <w:rPr>
          <w:rFonts w:cs="Abz-2 (Badr)" w:hint="cs"/>
          <w:color w:val="0070C0"/>
          <w:sz w:val="28"/>
          <w:szCs w:val="28"/>
          <w:rtl/>
          <w:lang w:bidi="ar"/>
        </w:rPr>
        <w:t>ّ</w:t>
      </w:r>
      <w:r w:rsidRPr="00543D83">
        <w:rPr>
          <w:rFonts w:cs="Abz-2 (Badr)"/>
          <w:color w:val="0070C0"/>
          <w:sz w:val="28"/>
          <w:szCs w:val="28"/>
          <w:rtl/>
          <w:lang w:bidi="ar"/>
        </w:rPr>
        <w:t xml:space="preserve">ف وغيره </w:t>
      </w:r>
      <w:r>
        <w:rPr>
          <w:rFonts w:cs="Abz-2 (Badr)" w:hint="cs"/>
          <w:color w:val="0070C0"/>
          <w:sz w:val="28"/>
          <w:szCs w:val="28"/>
          <w:rtl/>
          <w:lang w:bidi="ar"/>
        </w:rPr>
        <w:t>ـ</w:t>
      </w:r>
      <w:r w:rsidRPr="00543D83">
        <w:rPr>
          <w:rFonts w:cs="Abz-2 (Badr)"/>
          <w:color w:val="0070C0"/>
          <w:sz w:val="28"/>
          <w:szCs w:val="28"/>
          <w:rtl/>
          <w:lang w:bidi="ar"/>
        </w:rPr>
        <w:t xml:space="preserve"> بل صرّح به بعضهم </w:t>
      </w:r>
      <w:r>
        <w:rPr>
          <w:rFonts w:cs="Abz-2 (Badr)" w:hint="cs"/>
          <w:color w:val="0070C0"/>
          <w:sz w:val="28"/>
          <w:szCs w:val="28"/>
          <w:rtl/>
          <w:lang w:bidi="ar"/>
        </w:rPr>
        <w:t>ـ</w:t>
      </w:r>
      <w:r w:rsidRPr="00543D83">
        <w:rPr>
          <w:rFonts w:cs="Abz-2 (Badr)"/>
          <w:color w:val="0070C0"/>
          <w:sz w:val="28"/>
          <w:szCs w:val="28"/>
          <w:rtl/>
          <w:lang w:bidi="ar"/>
        </w:rPr>
        <w:t xml:space="preserve"> أن</w:t>
      </w:r>
      <w:r>
        <w:rPr>
          <w:rFonts w:cs="Abz-2 (Badr)" w:hint="cs"/>
          <w:color w:val="0070C0"/>
          <w:sz w:val="28"/>
          <w:szCs w:val="28"/>
          <w:rtl/>
          <w:lang w:bidi="ar"/>
        </w:rPr>
        <w:t>ّ</w:t>
      </w:r>
      <w:r w:rsidRPr="00543D83">
        <w:rPr>
          <w:rFonts w:cs="Abz-2 (Badr)"/>
          <w:color w:val="0070C0"/>
          <w:sz w:val="28"/>
          <w:szCs w:val="28"/>
          <w:rtl/>
          <w:lang w:bidi="ar"/>
        </w:rPr>
        <w:t xml:space="preserve"> التمكين لا يكفي حصوله بالفعل، بل لابدّ من لفظ يدلّ‌ عليه من قبل المرأة، بأن تقول: </w:t>
      </w:r>
      <w:r>
        <w:rPr>
          <w:rFonts w:cs="Abz-2 (Badr)" w:hint="cs"/>
          <w:color w:val="0070C0"/>
          <w:sz w:val="28"/>
          <w:szCs w:val="28"/>
          <w:rtl/>
          <w:lang w:bidi="ar"/>
        </w:rPr>
        <w:t>«</w:t>
      </w:r>
      <w:r w:rsidRPr="00543D83">
        <w:rPr>
          <w:rFonts w:cs="Abz-2 (Badr)"/>
          <w:color w:val="0070C0"/>
          <w:sz w:val="28"/>
          <w:szCs w:val="28"/>
          <w:rtl/>
          <w:lang w:bidi="ar"/>
        </w:rPr>
        <w:t>سلّمت نفسي إليك حيث شئت وأيّ‌ زمان شئت</w:t>
      </w:r>
      <w:r>
        <w:rPr>
          <w:rFonts w:cs="Abz-2 (Badr)" w:hint="cs"/>
          <w:color w:val="0070C0"/>
          <w:sz w:val="28"/>
          <w:szCs w:val="28"/>
          <w:rtl/>
          <w:lang w:bidi="ar"/>
        </w:rPr>
        <w:t>»</w:t>
      </w:r>
      <w:r w:rsidRPr="00543D83">
        <w:rPr>
          <w:rFonts w:cs="Abz-2 (Badr)"/>
          <w:color w:val="0070C0"/>
          <w:sz w:val="28"/>
          <w:szCs w:val="28"/>
          <w:rtl/>
          <w:lang w:bidi="ar"/>
        </w:rPr>
        <w:t xml:space="preserve"> ونحو ذلك، فلو استمرّت ساكتة وإن مكّنته من نفسها بالفعل</w:t>
      </w:r>
      <w:r>
        <w:rPr>
          <w:rFonts w:cs="Abz-2 (Badr)" w:hint="cs"/>
          <w:color w:val="0070C0"/>
          <w:sz w:val="28"/>
          <w:szCs w:val="28"/>
          <w:rtl/>
          <w:lang w:bidi="ar"/>
        </w:rPr>
        <w:t>،</w:t>
      </w:r>
      <w:r w:rsidRPr="00543D83">
        <w:rPr>
          <w:rFonts w:cs="Abz-2 (Badr)"/>
          <w:color w:val="0070C0"/>
          <w:sz w:val="28"/>
          <w:szCs w:val="28"/>
          <w:rtl/>
          <w:lang w:bidi="ar"/>
        </w:rPr>
        <w:t xml:space="preserve"> لم يكف في وجوب النفقة</w:t>
      </w:r>
      <w:r>
        <w:rPr>
          <w:rFonts w:cs="Abz-2 (Badr)" w:hint="cs"/>
          <w:color w:val="0070C0"/>
          <w:sz w:val="28"/>
          <w:szCs w:val="28"/>
          <w:rtl/>
          <w:lang w:bidi="ar"/>
        </w:rPr>
        <w:t>؛</w:t>
      </w:r>
      <w:r w:rsidRPr="00543D83">
        <w:rPr>
          <w:rFonts w:cs="Abz-2 (Badr)"/>
          <w:color w:val="0070C0"/>
          <w:sz w:val="28"/>
          <w:szCs w:val="28"/>
          <w:rtl/>
          <w:lang w:bidi="ar"/>
        </w:rPr>
        <w:t xml:space="preserve"> ولا يخلو ذلك من إشكال</w:t>
      </w:r>
      <w:r>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1"/>
      </w:r>
    </w:p>
    <w:p w14:paraId="44E558B9" w14:textId="77777777" w:rsidR="00896E18" w:rsidRDefault="00896E18" w:rsidP="00896E18">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 xml:space="preserve">صاحب جواهر نيز بعد از نقل کلام شهيد ثانی فرموده است: </w:t>
      </w:r>
      <w:r w:rsidRPr="00681830">
        <w:rPr>
          <w:rFonts w:cs="Abz-2 (Badr)" w:hint="cs"/>
          <w:color w:val="0070C0"/>
          <w:sz w:val="28"/>
          <w:szCs w:val="28"/>
          <w:rtl/>
          <w:lang w:bidi="fa-IR"/>
        </w:rPr>
        <w:t>«</w:t>
      </w:r>
      <w:r w:rsidRPr="00681830">
        <w:rPr>
          <w:rFonts w:cs="Abz-2 (Badr)"/>
          <w:color w:val="0070C0"/>
          <w:sz w:val="28"/>
          <w:szCs w:val="28"/>
          <w:rtl/>
          <w:lang w:bidi="ar"/>
        </w:rPr>
        <w:t>بل واضح المنع، ضرورة عدم دليل عليه، وعدم توق</w:t>
      </w:r>
      <w:r w:rsidRPr="00681830">
        <w:rPr>
          <w:rFonts w:cs="Abz-2 (Badr)" w:hint="cs"/>
          <w:color w:val="0070C0"/>
          <w:sz w:val="28"/>
          <w:szCs w:val="28"/>
          <w:rtl/>
          <w:lang w:bidi="ar"/>
        </w:rPr>
        <w:t>ّ</w:t>
      </w:r>
      <w:r w:rsidRPr="00681830">
        <w:rPr>
          <w:rFonts w:cs="Abz-2 (Badr)"/>
          <w:color w:val="0070C0"/>
          <w:sz w:val="28"/>
          <w:szCs w:val="28"/>
          <w:rtl/>
          <w:lang w:bidi="ar"/>
        </w:rPr>
        <w:t>ف صدق الطاعة والانقياد عرفا</w:t>
      </w:r>
      <w:r w:rsidRPr="00681830">
        <w:rPr>
          <w:rFonts w:cs="Abz-2 (Badr)" w:hint="cs"/>
          <w:color w:val="0070C0"/>
          <w:sz w:val="28"/>
          <w:szCs w:val="28"/>
          <w:rtl/>
          <w:lang w:bidi="ar"/>
        </w:rPr>
        <w:t>ً</w:t>
      </w:r>
      <w:r w:rsidRPr="00681830">
        <w:rPr>
          <w:rFonts w:cs="Abz-2 (Badr)"/>
          <w:color w:val="0070C0"/>
          <w:sz w:val="28"/>
          <w:szCs w:val="28"/>
          <w:rtl/>
          <w:lang w:bidi="ar"/>
        </w:rPr>
        <w:t xml:space="preserve"> عليه، وعرض نفسها عليه كل</w:t>
      </w:r>
      <w:r w:rsidRPr="00681830">
        <w:rPr>
          <w:rFonts w:cs="Abz-2 (Badr)" w:hint="cs"/>
          <w:color w:val="0070C0"/>
          <w:sz w:val="28"/>
          <w:szCs w:val="28"/>
          <w:rtl/>
          <w:lang w:bidi="ar"/>
        </w:rPr>
        <w:t>ّ</w:t>
      </w:r>
      <w:r w:rsidRPr="00681830">
        <w:rPr>
          <w:rFonts w:cs="Abz-2 (Badr)"/>
          <w:color w:val="0070C0"/>
          <w:sz w:val="28"/>
          <w:szCs w:val="28"/>
          <w:rtl/>
          <w:lang w:bidi="ar"/>
        </w:rPr>
        <w:t xml:space="preserve"> غدوة وعشي</w:t>
      </w:r>
      <w:r w:rsidRPr="00681830">
        <w:rPr>
          <w:rFonts w:cs="Abz-2 (Badr)" w:hint="cs"/>
          <w:color w:val="0070C0"/>
          <w:sz w:val="28"/>
          <w:szCs w:val="28"/>
          <w:rtl/>
          <w:lang w:bidi="ar"/>
        </w:rPr>
        <w:t>ّ</w:t>
      </w:r>
      <w:r w:rsidRPr="00681830">
        <w:rPr>
          <w:rFonts w:cs="Abz-2 (Badr)"/>
          <w:color w:val="0070C0"/>
          <w:sz w:val="28"/>
          <w:szCs w:val="28"/>
          <w:rtl/>
          <w:lang w:bidi="ar"/>
        </w:rPr>
        <w:t>ة لا يقتضي ذلك قطعا</w:t>
      </w:r>
      <w:r w:rsidRPr="00681830">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2"/>
      </w:r>
    </w:p>
    <w:p w14:paraId="2D899982" w14:textId="77777777" w:rsidR="00896E18" w:rsidRDefault="00896E18" w:rsidP="00896E18">
      <w:pPr>
        <w:widowControl w:val="0"/>
        <w:bidi/>
        <w:spacing w:after="0" w:line="257" w:lineRule="auto"/>
        <w:ind w:firstLine="284"/>
        <w:jc w:val="both"/>
        <w:rPr>
          <w:rFonts w:cs="Abz-2 (Badr)"/>
          <w:color w:val="000000" w:themeColor="text1"/>
          <w:sz w:val="28"/>
          <w:szCs w:val="28"/>
          <w:rtl/>
          <w:lang w:bidi="fa-IR"/>
        </w:rPr>
      </w:pPr>
      <w:r w:rsidRPr="00681830">
        <w:rPr>
          <w:rFonts w:cs="Abz-2 (Badr)" w:hint="cs"/>
          <w:color w:val="000000" w:themeColor="text1"/>
          <w:sz w:val="28"/>
          <w:szCs w:val="28"/>
          <w:rtl/>
          <w:lang w:bidi="fa-IR"/>
        </w:rPr>
        <w:t>حق نيز در اين مطلب با شهيد ثانی و صاحب جواهر است</w:t>
      </w:r>
      <w:r>
        <w:rPr>
          <w:rFonts w:cs="Abz-2 (Badr)" w:hint="cs"/>
          <w:color w:val="000000" w:themeColor="text1"/>
          <w:sz w:val="28"/>
          <w:szCs w:val="28"/>
          <w:rtl/>
          <w:lang w:bidi="fa-IR"/>
        </w:rPr>
        <w:t xml:space="preserve"> و برای تحقق تمکين آمادگی و انقياد زوجه کفايت می</w:t>
      </w:r>
      <w:r>
        <w:rPr>
          <w:rFonts w:cs="Abz-2 (Badr)"/>
          <w:color w:val="000000" w:themeColor="text1"/>
          <w:sz w:val="28"/>
          <w:szCs w:val="28"/>
          <w:rtl/>
          <w:lang w:bidi="fa-IR"/>
        </w:rPr>
        <w:softHyphen/>
      </w:r>
      <w:r>
        <w:rPr>
          <w:rFonts w:cs="Abz-2 (Badr)" w:hint="cs"/>
          <w:color w:val="000000" w:themeColor="text1"/>
          <w:sz w:val="28"/>
          <w:szCs w:val="28"/>
          <w:rtl/>
          <w:lang w:bidi="fa-IR"/>
        </w:rPr>
        <w:t>کند، و آنچه که کاشف اللثام بيان کرده است، مربوط به مقام اثبات است نه مقام ثبوت. بنابر اين مادامی که زوجه آمادگی برای در اختيار قرار دادن خود برای زوج برای استمتاع داشته باشد، تمکين ثبوتاً حاصل است، اما اثباتاً هر قرينه</w:t>
      </w:r>
      <w:r>
        <w:rPr>
          <w:rFonts w:cs="Abz-2 (Badr)"/>
          <w:color w:val="000000" w:themeColor="text1"/>
          <w:sz w:val="28"/>
          <w:szCs w:val="28"/>
          <w:rtl/>
          <w:lang w:bidi="fa-IR"/>
        </w:rPr>
        <w:softHyphen/>
      </w:r>
      <w:r>
        <w:rPr>
          <w:rFonts w:cs="Abz-2 (Badr)" w:hint="cs"/>
          <w:color w:val="000000" w:themeColor="text1"/>
          <w:sz w:val="28"/>
          <w:szCs w:val="28"/>
          <w:rtl/>
          <w:lang w:bidi="fa-IR"/>
        </w:rPr>
        <w:t>ای که عرفاً بتواند بر چنين امری دلالت کند، کفايت می</w:t>
      </w:r>
      <w:r>
        <w:rPr>
          <w:rFonts w:cs="Abz-2 (Badr)"/>
          <w:color w:val="000000" w:themeColor="text1"/>
          <w:sz w:val="28"/>
          <w:szCs w:val="28"/>
          <w:rtl/>
          <w:lang w:bidi="fa-IR"/>
        </w:rPr>
        <w:softHyphen/>
      </w:r>
      <w:r>
        <w:rPr>
          <w:rFonts w:cs="Abz-2 (Badr)" w:hint="cs"/>
          <w:color w:val="000000" w:themeColor="text1"/>
          <w:sz w:val="28"/>
          <w:szCs w:val="28"/>
          <w:rtl/>
          <w:lang w:bidi="fa-IR"/>
        </w:rPr>
        <w:t>کند و بر زبان آوردن آمادگی برای استمتاع بر زوجه لازم نيست.</w:t>
      </w:r>
    </w:p>
    <w:p w14:paraId="12D2E413" w14:textId="77777777" w:rsidR="00896E18" w:rsidRDefault="00896E18" w:rsidP="00896E18">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نکته بعدی در اين مقام مربوط به اين مطلب است که آيا تمکين، شرط وجوب نفقه است يا اين که نشوز مانع از آن است؟</w:t>
      </w:r>
    </w:p>
    <w:p w14:paraId="3F846A32" w14:textId="77777777" w:rsidR="00896E18" w:rsidRDefault="00896E18" w:rsidP="00896E18">
      <w:pPr>
        <w:widowControl w:val="0"/>
        <w:bidi/>
        <w:spacing w:after="0" w:line="257" w:lineRule="auto"/>
        <w:ind w:firstLine="284"/>
        <w:jc w:val="both"/>
        <w:rPr>
          <w:rFonts w:cs="Abz-2 (Badr)"/>
          <w:color w:val="000000" w:themeColor="text1"/>
          <w:sz w:val="28"/>
          <w:szCs w:val="28"/>
          <w:rtl/>
          <w:lang w:bidi="ar"/>
        </w:rPr>
      </w:pPr>
      <w:r>
        <w:rPr>
          <w:rFonts w:cs="Abz-2 (Badr)" w:hint="cs"/>
          <w:color w:val="000000" w:themeColor="text1"/>
          <w:sz w:val="28"/>
          <w:szCs w:val="28"/>
          <w:rtl/>
          <w:lang w:bidi="fa-IR"/>
        </w:rPr>
        <w:t xml:space="preserve">صاحب جواهر فرموده است: ظاهر کلمات اصحاب اين است که در اعتبار تمکين برای وجوب نفقه اشکالی وجود </w:t>
      </w:r>
      <w:r>
        <w:rPr>
          <w:rFonts w:cs="Abz-2 (Badr)" w:hint="cs"/>
          <w:color w:val="000000" w:themeColor="text1"/>
          <w:sz w:val="28"/>
          <w:szCs w:val="28"/>
          <w:rtl/>
          <w:lang w:bidi="fa-IR"/>
        </w:rPr>
        <w:lastRenderedPageBreak/>
        <w:t>ندارد، بلکه محل کلام در اين است که آيا علاوه بر تمکين شرط ديگری نيز برای وجوب نفقه وجود دارد يا خير؟</w:t>
      </w:r>
      <w:r w:rsidRPr="00A516CF">
        <w:rPr>
          <w:rStyle w:val="FootnoteReference"/>
          <w:rFonts w:cs="Abz-2 (Badr)"/>
          <w:color w:val="000000" w:themeColor="text1"/>
          <w:spacing w:val="-6"/>
          <w:sz w:val="28"/>
          <w:szCs w:val="28"/>
          <w:rtl/>
          <w:lang w:bidi="ar"/>
        </w:rPr>
        <w:footnoteReference w:id="3"/>
      </w:r>
    </w:p>
    <w:p w14:paraId="55EAC9F8" w14:textId="77777777" w:rsidR="00896E18" w:rsidRPr="005C5825" w:rsidRDefault="00896E18" w:rsidP="00896E18">
      <w:pPr>
        <w:widowControl w:val="0"/>
        <w:bidi/>
        <w:spacing w:after="0" w:line="257" w:lineRule="auto"/>
        <w:ind w:firstLine="284"/>
        <w:jc w:val="both"/>
        <w:rPr>
          <w:rFonts w:cs="Abz-2 (Badr)"/>
          <w:color w:val="0070C0"/>
          <w:sz w:val="28"/>
          <w:szCs w:val="28"/>
          <w:rtl/>
          <w:lang w:bidi="fa-IR"/>
        </w:rPr>
      </w:pPr>
      <w:r>
        <w:rPr>
          <w:rFonts w:cs="Abz-2 (Badr)" w:hint="cs"/>
          <w:color w:val="000000" w:themeColor="text1"/>
          <w:sz w:val="28"/>
          <w:szCs w:val="28"/>
          <w:rtl/>
          <w:lang w:bidi="fa-IR"/>
        </w:rPr>
        <w:t xml:space="preserve">ايشان برای اين مطلب، استناد به فرمايش شهيد ثانی کرده است که در آن آمده است: </w:t>
      </w:r>
      <w:r w:rsidRPr="00E93862">
        <w:rPr>
          <w:rFonts w:cs="Abz-2 (Badr)" w:hint="cs"/>
          <w:color w:val="0070C0"/>
          <w:sz w:val="28"/>
          <w:szCs w:val="28"/>
          <w:rtl/>
          <w:lang w:bidi="fa-IR"/>
        </w:rPr>
        <w:t>«</w:t>
      </w:r>
      <w:r w:rsidRPr="00E93862">
        <w:rPr>
          <w:rFonts w:cs="Abz-2 (Badr)" w:hint="cs"/>
          <w:color w:val="0070C0"/>
          <w:sz w:val="28"/>
          <w:szCs w:val="28"/>
          <w:rtl/>
          <w:lang w:bidi="ar"/>
        </w:rPr>
        <w:t>ل</w:t>
      </w:r>
      <w:r w:rsidRPr="005C5825">
        <w:rPr>
          <w:rFonts w:cs="Abz-2 (Badr)"/>
          <w:color w:val="0070C0"/>
          <w:sz w:val="28"/>
          <w:szCs w:val="28"/>
          <w:rtl/>
          <w:lang w:bidi="ar"/>
        </w:rPr>
        <w:t>ا ريب في أن</w:t>
      </w:r>
      <w:r w:rsidRPr="00E93862">
        <w:rPr>
          <w:rFonts w:cs="Abz-2 (Badr)" w:hint="cs"/>
          <w:color w:val="0070C0"/>
          <w:sz w:val="28"/>
          <w:szCs w:val="28"/>
          <w:rtl/>
          <w:lang w:bidi="ar"/>
        </w:rPr>
        <w:t>ّ</w:t>
      </w:r>
      <w:r w:rsidRPr="005C5825">
        <w:rPr>
          <w:rFonts w:cs="Abz-2 (Badr)"/>
          <w:color w:val="0070C0"/>
          <w:sz w:val="28"/>
          <w:szCs w:val="28"/>
          <w:rtl/>
          <w:lang w:bidi="ar"/>
        </w:rPr>
        <w:t xml:space="preserve"> للنفقة تعلّقا</w:t>
      </w:r>
      <w:r w:rsidRPr="00E93862">
        <w:rPr>
          <w:rFonts w:cs="Abz-2 (Badr)" w:hint="cs"/>
          <w:color w:val="0070C0"/>
          <w:sz w:val="28"/>
          <w:szCs w:val="28"/>
          <w:rtl/>
          <w:lang w:bidi="ar"/>
        </w:rPr>
        <w:t>ً</w:t>
      </w:r>
      <w:r w:rsidRPr="005C5825">
        <w:rPr>
          <w:rFonts w:cs="Abz-2 (Badr)"/>
          <w:color w:val="0070C0"/>
          <w:sz w:val="28"/>
          <w:szCs w:val="28"/>
          <w:rtl/>
          <w:lang w:bidi="ar"/>
        </w:rPr>
        <w:t xml:space="preserve"> بالعقد والتمكين جميعا</w:t>
      </w:r>
      <w:r w:rsidRPr="00E93862">
        <w:rPr>
          <w:rFonts w:cs="Abz-2 (Badr)" w:hint="cs"/>
          <w:color w:val="0070C0"/>
          <w:sz w:val="28"/>
          <w:szCs w:val="28"/>
          <w:rtl/>
          <w:lang w:bidi="ar"/>
        </w:rPr>
        <w:t>ً</w:t>
      </w:r>
      <w:r w:rsidRPr="005C5825">
        <w:rPr>
          <w:rFonts w:cs="Abz-2 (Badr)"/>
          <w:color w:val="0070C0"/>
          <w:sz w:val="28"/>
          <w:szCs w:val="28"/>
          <w:rtl/>
          <w:lang w:bidi="ar"/>
        </w:rPr>
        <w:t>، فإن</w:t>
      </w:r>
      <w:r w:rsidRPr="00E93862">
        <w:rPr>
          <w:rFonts w:cs="Abz-2 (Badr)" w:hint="cs"/>
          <w:color w:val="0070C0"/>
          <w:sz w:val="28"/>
          <w:szCs w:val="28"/>
          <w:rtl/>
          <w:lang w:bidi="ar"/>
        </w:rPr>
        <w:t>ّ</w:t>
      </w:r>
      <w:r w:rsidRPr="005C5825">
        <w:rPr>
          <w:rFonts w:cs="Abz-2 (Badr)"/>
          <w:color w:val="0070C0"/>
          <w:sz w:val="28"/>
          <w:szCs w:val="28"/>
          <w:rtl/>
          <w:lang w:bidi="ar"/>
        </w:rPr>
        <w:t>ها لا تجب قبل العقد، ولو نشزت بعد العقد لم تطالب بالنفقة. واختلف في أن</w:t>
      </w:r>
      <w:r w:rsidRPr="00E93862">
        <w:rPr>
          <w:rFonts w:cs="Abz-2 (Badr)" w:hint="cs"/>
          <w:color w:val="0070C0"/>
          <w:sz w:val="28"/>
          <w:szCs w:val="28"/>
          <w:rtl/>
          <w:lang w:bidi="ar"/>
        </w:rPr>
        <w:t>ّ</w:t>
      </w:r>
      <w:r w:rsidRPr="005C5825">
        <w:rPr>
          <w:rFonts w:cs="Abz-2 (Badr)"/>
          <w:color w:val="0070C0"/>
          <w:sz w:val="28"/>
          <w:szCs w:val="28"/>
          <w:rtl/>
          <w:lang w:bidi="ar"/>
        </w:rPr>
        <w:t>ها بم تجب‌؟ فقيل: بالعقد كالمهر، لا بالتمكين</w:t>
      </w:r>
      <w:r w:rsidRPr="00E93862">
        <w:rPr>
          <w:rFonts w:cs="Abz-2 (Badr)" w:hint="cs"/>
          <w:color w:val="0070C0"/>
          <w:sz w:val="28"/>
          <w:szCs w:val="28"/>
          <w:rtl/>
          <w:lang w:bidi="ar"/>
        </w:rPr>
        <w:t xml:space="preserve">... </w:t>
      </w:r>
      <w:r w:rsidRPr="005C5825">
        <w:rPr>
          <w:rFonts w:cs="Abz-2 (Badr)"/>
          <w:color w:val="0070C0"/>
          <w:sz w:val="28"/>
          <w:szCs w:val="28"/>
          <w:rtl/>
          <w:lang w:bidi="ar"/>
        </w:rPr>
        <w:t>وقيل: لا تجب بالعقد مجرّدا</w:t>
      </w:r>
      <w:r w:rsidRPr="00E93862">
        <w:rPr>
          <w:rFonts w:cs="Abz-2 (Badr)" w:hint="cs"/>
          <w:color w:val="0070C0"/>
          <w:sz w:val="28"/>
          <w:szCs w:val="28"/>
          <w:rtl/>
          <w:lang w:bidi="ar"/>
        </w:rPr>
        <w:t>ً</w:t>
      </w:r>
      <w:r w:rsidRPr="005C5825">
        <w:rPr>
          <w:rFonts w:cs="Abz-2 (Badr)"/>
          <w:color w:val="0070C0"/>
          <w:sz w:val="28"/>
          <w:szCs w:val="28"/>
          <w:rtl/>
          <w:lang w:bidi="ar"/>
        </w:rPr>
        <w:t>، بل بالتمكين</w:t>
      </w:r>
      <w:r w:rsidRPr="00E93862">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4"/>
      </w:r>
    </w:p>
    <w:p w14:paraId="2B5305B6" w14:textId="77777777" w:rsidR="00896E18" w:rsidRDefault="00896E18" w:rsidP="00896E18">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ولی مدعای صاحب جواهر قابل التزام نيست، چون اگر اشکالی در اعتبار تمکين در وجوب نفقه وجود نداشته باشد، ديگر مسأله</w:t>
      </w:r>
      <w:r>
        <w:rPr>
          <w:rFonts w:cs="Abz-2 (Badr)"/>
          <w:color w:val="000000" w:themeColor="text1"/>
          <w:sz w:val="28"/>
          <w:szCs w:val="28"/>
          <w:rtl/>
          <w:lang w:bidi="fa-IR"/>
        </w:rPr>
        <w:softHyphen/>
      </w:r>
      <w:r>
        <w:rPr>
          <w:rFonts w:cs="Abz-2 (Badr)" w:hint="cs"/>
          <w:color w:val="000000" w:themeColor="text1"/>
          <w:sz w:val="28"/>
          <w:szCs w:val="28"/>
          <w:rtl/>
          <w:lang w:bidi="fa-IR"/>
        </w:rPr>
        <w:t>ای باقی نخواهد ماند تا از آن بحث شود، زيرا بجز تمکين امر ديگری که احتمال مدخليت آن در وجوب نفقه برود، وجود ندارد.</w:t>
      </w:r>
    </w:p>
    <w:p w14:paraId="2B0EF00F" w14:textId="77777777" w:rsidR="00896E18" w:rsidRDefault="00896E18" w:rsidP="00896E18">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توجيه کلمات اصحاب اين است که آنچه که ايشان به عنوان اعتبار تمکين مفروغ عنه در نظر گرفته</w:t>
      </w:r>
      <w:r>
        <w:rPr>
          <w:rFonts w:cs="Abz-2 (Badr)"/>
          <w:color w:val="000000" w:themeColor="text1"/>
          <w:sz w:val="28"/>
          <w:szCs w:val="28"/>
          <w:rtl/>
          <w:lang w:bidi="fa-IR"/>
        </w:rPr>
        <w:softHyphen/>
      </w:r>
      <w:r>
        <w:rPr>
          <w:rFonts w:cs="Abz-2 (Badr)" w:hint="cs"/>
          <w:color w:val="000000" w:themeColor="text1"/>
          <w:sz w:val="28"/>
          <w:szCs w:val="28"/>
          <w:rtl/>
          <w:lang w:bidi="fa-IR"/>
        </w:rPr>
        <w:t>اند، مربوط به مقام ثبوت است، زيرا از آنجا که تمکين و نشوز ضدين لا ثالث هستند، وجود يکی از آنها ملازمه با عدم ديگری دارد و در نتيجه در مقام ثبوت، فرقی بين اين که تمکين را شرط بدانيم يا اين که نشوز را مانع بدانيم، وجود نخواهد داشت. در حالی که در مقام اثبات، بين شرطيت تمکين و مانعيت نشوز فرق وجود دارد، زيرا اثبات انتفاء يکی از آنان با اصل، سبب اثبات وجود ديگری جز به نحو مثبت نخواهد شد.</w:t>
      </w:r>
    </w:p>
    <w:p w14:paraId="771C3A3A" w14:textId="77777777" w:rsidR="00896E18" w:rsidRDefault="00896E18" w:rsidP="00896E18">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مؤيد آنچه که گفتيم اين است که شهيد ثانی در کلامی که از ايشان گذشت، به جای اين که بفرمايد: «لا ريب في اعتبار التمکين في النفقة» فرموده است: </w:t>
      </w:r>
      <w:r w:rsidRPr="00E93862">
        <w:rPr>
          <w:rFonts w:cs="Abz-2 (Badr)" w:hint="cs"/>
          <w:color w:val="0070C0"/>
          <w:sz w:val="28"/>
          <w:szCs w:val="28"/>
          <w:rtl/>
          <w:lang w:bidi="fa-IR"/>
        </w:rPr>
        <w:t>«</w:t>
      </w:r>
      <w:r w:rsidRPr="00E93862">
        <w:rPr>
          <w:rFonts w:cs="Abz-2 (Badr)" w:hint="cs"/>
          <w:color w:val="0070C0"/>
          <w:sz w:val="28"/>
          <w:szCs w:val="28"/>
          <w:rtl/>
          <w:lang w:bidi="ar"/>
        </w:rPr>
        <w:t>ل</w:t>
      </w:r>
      <w:r w:rsidRPr="005C5825">
        <w:rPr>
          <w:rFonts w:cs="Abz-2 (Badr)"/>
          <w:color w:val="0070C0"/>
          <w:sz w:val="28"/>
          <w:szCs w:val="28"/>
          <w:rtl/>
          <w:lang w:bidi="ar"/>
        </w:rPr>
        <w:t>ا ريب في أن</w:t>
      </w:r>
      <w:r w:rsidRPr="00E93862">
        <w:rPr>
          <w:rFonts w:cs="Abz-2 (Badr)" w:hint="cs"/>
          <w:color w:val="0070C0"/>
          <w:sz w:val="28"/>
          <w:szCs w:val="28"/>
          <w:rtl/>
          <w:lang w:bidi="ar"/>
        </w:rPr>
        <w:t>ّ</w:t>
      </w:r>
      <w:r w:rsidRPr="005C5825">
        <w:rPr>
          <w:rFonts w:cs="Abz-2 (Badr)"/>
          <w:color w:val="0070C0"/>
          <w:sz w:val="28"/>
          <w:szCs w:val="28"/>
          <w:rtl/>
          <w:lang w:bidi="ar"/>
        </w:rPr>
        <w:t xml:space="preserve"> للنفقة تعلّقا</w:t>
      </w:r>
      <w:r w:rsidRPr="00E93862">
        <w:rPr>
          <w:rFonts w:cs="Abz-2 (Badr)" w:hint="cs"/>
          <w:color w:val="0070C0"/>
          <w:sz w:val="28"/>
          <w:szCs w:val="28"/>
          <w:rtl/>
          <w:lang w:bidi="ar"/>
        </w:rPr>
        <w:t>ً</w:t>
      </w:r>
      <w:r w:rsidRPr="005C5825">
        <w:rPr>
          <w:rFonts w:cs="Abz-2 (Badr)"/>
          <w:color w:val="0070C0"/>
          <w:sz w:val="28"/>
          <w:szCs w:val="28"/>
          <w:rtl/>
          <w:lang w:bidi="ar"/>
        </w:rPr>
        <w:t xml:space="preserve"> بالعقد والتمكين جميعا</w:t>
      </w:r>
      <w:r w:rsidRPr="00E93862">
        <w:rPr>
          <w:rFonts w:cs="Abz-2 (Badr)" w:hint="cs"/>
          <w:color w:val="0070C0"/>
          <w:sz w:val="28"/>
          <w:szCs w:val="28"/>
          <w:rtl/>
          <w:lang w:bidi="ar"/>
        </w:rPr>
        <w:t>ً</w:t>
      </w:r>
      <w:r>
        <w:rPr>
          <w:rFonts w:cs="Abz-2 (Badr)" w:hint="cs"/>
          <w:color w:val="0070C0"/>
          <w:sz w:val="28"/>
          <w:szCs w:val="28"/>
          <w:rtl/>
          <w:lang w:bidi="ar"/>
        </w:rPr>
        <w:t>»</w:t>
      </w:r>
      <w:r w:rsidRPr="00765C25">
        <w:rPr>
          <w:rFonts w:cs="Abz-2 (Badr)" w:hint="cs"/>
          <w:color w:val="000000" w:themeColor="text1"/>
          <w:sz w:val="28"/>
          <w:szCs w:val="28"/>
          <w:rtl/>
          <w:lang w:bidi="fa-IR"/>
        </w:rPr>
        <w:t>،</w:t>
      </w:r>
      <w:r>
        <w:rPr>
          <w:rFonts w:cs="Abz-2 (Badr)" w:hint="cs"/>
          <w:color w:val="0070C0"/>
          <w:sz w:val="28"/>
          <w:szCs w:val="28"/>
          <w:rtl/>
          <w:lang w:bidi="ar"/>
        </w:rPr>
        <w:t xml:space="preserve"> </w:t>
      </w:r>
      <w:r w:rsidRPr="00765C25">
        <w:rPr>
          <w:rFonts w:cs="Abz-2 (Badr)" w:hint="cs"/>
          <w:color w:val="000000" w:themeColor="text1"/>
          <w:sz w:val="28"/>
          <w:szCs w:val="28"/>
          <w:rtl/>
          <w:lang w:bidi="fa-IR"/>
        </w:rPr>
        <w:t>و معلوم است که تعبير به «تعلق» به جای شرطيت يا اعتبار</w:t>
      </w:r>
      <w:r>
        <w:rPr>
          <w:rFonts w:cs="Abz-2 (Badr)" w:hint="cs"/>
          <w:color w:val="000000" w:themeColor="text1"/>
          <w:sz w:val="28"/>
          <w:szCs w:val="28"/>
          <w:rtl/>
          <w:lang w:bidi="fa-IR"/>
        </w:rPr>
        <w:t>، بدين معناست که مدخليت ثبوتی تمکين در وجوب نفقه، اعم از اين است که آن را اثباتاً شرط وجوب نفقه بدانيم يا اين که نشوز را مانع نفقه به حساب آوريم.</w:t>
      </w:r>
    </w:p>
    <w:p w14:paraId="10F2A78D" w14:textId="77777777" w:rsidR="00896E18" w:rsidRDefault="00896E18" w:rsidP="00896E18">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در نتيجه محل بحث در اين مقام اين است که آنچه که در مقام اثبات سبب وجوب نفقه زوجه بر زوج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گردد، آيا مجرد عقد است به نحوی که تا نشوز زوجه اثبات نگردد، بر زوج واجب باشد که نفقه وی را بپردازد، يا اين که بعد از </w:t>
      </w:r>
      <w:r>
        <w:rPr>
          <w:rFonts w:cs="Abz-2 (Badr)" w:hint="cs"/>
          <w:color w:val="000000" w:themeColor="text1"/>
          <w:sz w:val="28"/>
          <w:szCs w:val="28"/>
          <w:rtl/>
          <w:lang w:bidi="fa-IR"/>
        </w:rPr>
        <w:lastRenderedPageBreak/>
        <w:t>عقد بايد تمکين زوجه از زوج اثبات شود تا اين که دادن نفقه او بر زوج واجب گردد؟</w:t>
      </w:r>
    </w:p>
    <w:p w14:paraId="48129607" w14:textId="77777777" w:rsidR="00896E18" w:rsidRDefault="00896E18" w:rsidP="00896E18">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جلسه آينده به بررسی اين مسأله خواهيم پرداخت ان شاء الله.</w:t>
      </w:r>
    </w:p>
    <w:p w14:paraId="0C12612A" w14:textId="77777777" w:rsidR="00896E18" w:rsidRDefault="00896E18" w:rsidP="00896E18">
      <w:pPr>
        <w:rPr>
          <w:rFonts w:cs="Abz-2 (Badr)"/>
          <w:color w:val="000000" w:themeColor="text1"/>
          <w:sz w:val="28"/>
          <w:szCs w:val="28"/>
          <w:rtl/>
          <w:lang w:bidi="fa-IR"/>
        </w:rPr>
      </w:pPr>
      <w:r>
        <w:rPr>
          <w:rFonts w:cs="Abz-2 (Badr)"/>
          <w:color w:val="000000" w:themeColor="text1"/>
          <w:sz w:val="28"/>
          <w:szCs w:val="28"/>
          <w:rtl/>
          <w:lang w:bidi="fa-IR"/>
        </w:rPr>
        <w:br w:type="page"/>
      </w:r>
    </w:p>
    <w:p w14:paraId="38263AD6" w14:textId="77777777" w:rsidR="00896E18" w:rsidRDefault="00896E18" w:rsidP="00896E18">
      <w:pPr>
        <w:widowControl w:val="0"/>
        <w:bidi/>
        <w:spacing w:after="0"/>
        <w:ind w:firstLine="284"/>
        <w:jc w:val="both"/>
        <w:rPr>
          <w:rFonts w:cs="Abz-2 (Badr)"/>
          <w:color w:val="000000" w:themeColor="text1"/>
          <w:sz w:val="28"/>
          <w:szCs w:val="28"/>
          <w:rtl/>
        </w:rPr>
      </w:pPr>
      <w:r w:rsidRPr="00E01827">
        <w:rPr>
          <w:rFonts w:cs="Abz-2 (Badr)"/>
          <w:color w:val="000000" w:themeColor="text1"/>
          <w:sz w:val="28"/>
          <w:szCs w:val="28"/>
          <w:rtl/>
        </w:rPr>
        <w:lastRenderedPageBreak/>
        <w:t>قلنا</w:t>
      </w:r>
      <w:r>
        <w:rPr>
          <w:rFonts w:cs="Abz-2 (Badr)" w:hint="cs"/>
          <w:color w:val="000000" w:themeColor="text1"/>
          <w:sz w:val="28"/>
          <w:szCs w:val="28"/>
          <w:rtl/>
        </w:rPr>
        <w:t xml:space="preserve"> في الجلسة السابقة</w:t>
      </w:r>
      <w:r w:rsidRPr="00E01827">
        <w:rPr>
          <w:rFonts w:cs="Abz-2 (Badr)"/>
          <w:color w:val="000000" w:themeColor="text1"/>
          <w:sz w:val="28"/>
          <w:szCs w:val="28"/>
          <w:rtl/>
        </w:rPr>
        <w:t>: إنّ العلّامة وكاشف اللثام ذهبا إلى لزوم تصريح الزوجة لفظاً باستعدادها لتسليم نفسها للزوج للاستمتاع ليحكم بتحقّق تمكينها</w:t>
      </w:r>
      <w:r>
        <w:rPr>
          <w:rFonts w:cs="Abz-2 (Badr)" w:hint="cs"/>
          <w:color w:val="000000" w:themeColor="text1"/>
          <w:sz w:val="28"/>
          <w:szCs w:val="28"/>
          <w:rtl/>
        </w:rPr>
        <w:t>.</w:t>
      </w:r>
    </w:p>
    <w:p w14:paraId="2DABEE86" w14:textId="77777777" w:rsidR="00896E18" w:rsidRDefault="00896E18" w:rsidP="00896E18">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rPr>
        <w:t xml:space="preserve">إلّا أنّ الشهيد الثاني قال: </w:t>
      </w:r>
      <w:r>
        <w:rPr>
          <w:rFonts w:cs="Abz-2 (Badr)" w:hint="cs"/>
          <w:color w:val="0070C0"/>
          <w:sz w:val="28"/>
          <w:szCs w:val="28"/>
          <w:rtl/>
          <w:lang w:bidi="fa-IR"/>
        </w:rPr>
        <w:t>«إ</w:t>
      </w:r>
      <w:r w:rsidRPr="00543D83">
        <w:rPr>
          <w:rFonts w:cs="Abz-2 (Badr)"/>
          <w:color w:val="0070C0"/>
          <w:sz w:val="28"/>
          <w:szCs w:val="28"/>
          <w:rtl/>
          <w:lang w:bidi="ar"/>
        </w:rPr>
        <w:t>ن</w:t>
      </w:r>
      <w:r>
        <w:rPr>
          <w:rFonts w:cs="Abz-2 (Badr)" w:hint="cs"/>
          <w:color w:val="0070C0"/>
          <w:sz w:val="28"/>
          <w:szCs w:val="28"/>
          <w:rtl/>
          <w:lang w:bidi="ar"/>
        </w:rPr>
        <w:t>ّ</w:t>
      </w:r>
      <w:r w:rsidRPr="00543D83">
        <w:rPr>
          <w:rFonts w:cs="Abz-2 (Badr)"/>
          <w:color w:val="0070C0"/>
          <w:sz w:val="28"/>
          <w:szCs w:val="28"/>
          <w:rtl/>
          <w:lang w:bidi="ar"/>
        </w:rPr>
        <w:t xml:space="preserve"> الظاهر من كلام المصن</w:t>
      </w:r>
      <w:r>
        <w:rPr>
          <w:rFonts w:cs="Abz-2 (Badr)" w:hint="cs"/>
          <w:color w:val="0070C0"/>
          <w:sz w:val="28"/>
          <w:szCs w:val="28"/>
          <w:rtl/>
          <w:lang w:bidi="ar"/>
        </w:rPr>
        <w:t>ّ</w:t>
      </w:r>
      <w:r w:rsidRPr="00543D83">
        <w:rPr>
          <w:rFonts w:cs="Abz-2 (Badr)"/>
          <w:color w:val="0070C0"/>
          <w:sz w:val="28"/>
          <w:szCs w:val="28"/>
          <w:rtl/>
          <w:lang w:bidi="ar"/>
        </w:rPr>
        <w:t xml:space="preserve">ف وغيره </w:t>
      </w:r>
      <w:r>
        <w:rPr>
          <w:rFonts w:cs="Abz-2 (Badr)" w:hint="cs"/>
          <w:color w:val="0070C0"/>
          <w:sz w:val="28"/>
          <w:szCs w:val="28"/>
          <w:rtl/>
          <w:lang w:bidi="ar"/>
        </w:rPr>
        <w:t>ـ</w:t>
      </w:r>
      <w:r w:rsidRPr="00543D83">
        <w:rPr>
          <w:rFonts w:cs="Abz-2 (Badr)"/>
          <w:color w:val="0070C0"/>
          <w:sz w:val="28"/>
          <w:szCs w:val="28"/>
          <w:rtl/>
          <w:lang w:bidi="ar"/>
        </w:rPr>
        <w:t xml:space="preserve"> بل صرّح به بعضهم </w:t>
      </w:r>
      <w:r>
        <w:rPr>
          <w:rFonts w:cs="Abz-2 (Badr)" w:hint="cs"/>
          <w:color w:val="0070C0"/>
          <w:sz w:val="28"/>
          <w:szCs w:val="28"/>
          <w:rtl/>
          <w:lang w:bidi="ar"/>
        </w:rPr>
        <w:t>ـ</w:t>
      </w:r>
      <w:r w:rsidRPr="00543D83">
        <w:rPr>
          <w:rFonts w:cs="Abz-2 (Badr)"/>
          <w:color w:val="0070C0"/>
          <w:sz w:val="28"/>
          <w:szCs w:val="28"/>
          <w:rtl/>
          <w:lang w:bidi="ar"/>
        </w:rPr>
        <w:t xml:space="preserve"> أن</w:t>
      </w:r>
      <w:r>
        <w:rPr>
          <w:rFonts w:cs="Abz-2 (Badr)" w:hint="cs"/>
          <w:color w:val="0070C0"/>
          <w:sz w:val="28"/>
          <w:szCs w:val="28"/>
          <w:rtl/>
          <w:lang w:bidi="ar"/>
        </w:rPr>
        <w:t>ّ</w:t>
      </w:r>
      <w:r w:rsidRPr="00543D83">
        <w:rPr>
          <w:rFonts w:cs="Abz-2 (Badr)"/>
          <w:color w:val="0070C0"/>
          <w:sz w:val="28"/>
          <w:szCs w:val="28"/>
          <w:rtl/>
          <w:lang w:bidi="ar"/>
        </w:rPr>
        <w:t xml:space="preserve"> التمكين لا يكفي حصوله بالفعل، بل لابدّ من لفظ يدلّ‌ عليه من قبل المرأة، بأن تقول: </w:t>
      </w:r>
      <w:r>
        <w:rPr>
          <w:rFonts w:cs="Abz-2 (Badr)" w:hint="cs"/>
          <w:color w:val="0070C0"/>
          <w:sz w:val="28"/>
          <w:szCs w:val="28"/>
          <w:rtl/>
          <w:lang w:bidi="ar"/>
        </w:rPr>
        <w:t>«</w:t>
      </w:r>
      <w:r w:rsidRPr="00543D83">
        <w:rPr>
          <w:rFonts w:cs="Abz-2 (Badr)"/>
          <w:color w:val="0070C0"/>
          <w:sz w:val="28"/>
          <w:szCs w:val="28"/>
          <w:rtl/>
          <w:lang w:bidi="ar"/>
        </w:rPr>
        <w:t>سلّمت نفسي إليك حيث شئت وأيّ‌ زمان شئت</w:t>
      </w:r>
      <w:r>
        <w:rPr>
          <w:rFonts w:cs="Abz-2 (Badr)" w:hint="cs"/>
          <w:color w:val="0070C0"/>
          <w:sz w:val="28"/>
          <w:szCs w:val="28"/>
          <w:rtl/>
          <w:lang w:bidi="ar"/>
        </w:rPr>
        <w:t>»</w:t>
      </w:r>
      <w:r w:rsidRPr="00543D83">
        <w:rPr>
          <w:rFonts w:cs="Abz-2 (Badr)"/>
          <w:color w:val="0070C0"/>
          <w:sz w:val="28"/>
          <w:szCs w:val="28"/>
          <w:rtl/>
          <w:lang w:bidi="ar"/>
        </w:rPr>
        <w:t xml:space="preserve"> ونحو ذلك، فلو استمرّت ساكتة وإن مكّنته من نفسها بالفعل</w:t>
      </w:r>
      <w:r>
        <w:rPr>
          <w:rFonts w:cs="Abz-2 (Badr)" w:hint="cs"/>
          <w:color w:val="0070C0"/>
          <w:sz w:val="28"/>
          <w:szCs w:val="28"/>
          <w:rtl/>
          <w:lang w:bidi="ar"/>
        </w:rPr>
        <w:t>،</w:t>
      </w:r>
      <w:r w:rsidRPr="00543D83">
        <w:rPr>
          <w:rFonts w:cs="Abz-2 (Badr)"/>
          <w:color w:val="0070C0"/>
          <w:sz w:val="28"/>
          <w:szCs w:val="28"/>
          <w:rtl/>
          <w:lang w:bidi="ar"/>
        </w:rPr>
        <w:t xml:space="preserve"> لم يكف في وجوب النفقة</w:t>
      </w:r>
      <w:r>
        <w:rPr>
          <w:rFonts w:cs="Abz-2 (Badr)" w:hint="cs"/>
          <w:color w:val="0070C0"/>
          <w:sz w:val="28"/>
          <w:szCs w:val="28"/>
          <w:rtl/>
          <w:lang w:bidi="ar"/>
        </w:rPr>
        <w:t>؛</w:t>
      </w:r>
      <w:r w:rsidRPr="00543D83">
        <w:rPr>
          <w:rFonts w:cs="Abz-2 (Badr)"/>
          <w:color w:val="0070C0"/>
          <w:sz w:val="28"/>
          <w:szCs w:val="28"/>
          <w:rtl/>
          <w:lang w:bidi="ar"/>
        </w:rPr>
        <w:t xml:space="preserve"> ولا يخلو ذلك من إشكال</w:t>
      </w:r>
      <w:r>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5"/>
      </w:r>
    </w:p>
    <w:p w14:paraId="37EA48CC" w14:textId="77777777" w:rsidR="00896E18" w:rsidRDefault="00896E18" w:rsidP="00896E18">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ar"/>
        </w:rPr>
        <w:t xml:space="preserve">وقال </w:t>
      </w:r>
      <w:r>
        <w:rPr>
          <w:rFonts w:cs="Abz-2 (Badr)" w:hint="cs"/>
          <w:color w:val="000000" w:themeColor="text1"/>
          <w:sz w:val="28"/>
          <w:szCs w:val="28"/>
          <w:rtl/>
          <w:lang w:bidi="fa-IR"/>
        </w:rPr>
        <w:t xml:space="preserve">صاحب جواهر بعد نقله کلام الشهيد ثانی ما لفظه: </w:t>
      </w:r>
      <w:r w:rsidRPr="00681830">
        <w:rPr>
          <w:rFonts w:cs="Abz-2 (Badr)" w:hint="cs"/>
          <w:color w:val="0070C0"/>
          <w:sz w:val="28"/>
          <w:szCs w:val="28"/>
          <w:rtl/>
          <w:lang w:bidi="fa-IR"/>
        </w:rPr>
        <w:t>«</w:t>
      </w:r>
      <w:r w:rsidRPr="00681830">
        <w:rPr>
          <w:rFonts w:cs="Abz-2 (Badr)"/>
          <w:color w:val="0070C0"/>
          <w:sz w:val="28"/>
          <w:szCs w:val="28"/>
          <w:rtl/>
          <w:lang w:bidi="ar"/>
        </w:rPr>
        <w:t>بل واضح المنع، ضرورة عدم دليل عليه، وعدم توق</w:t>
      </w:r>
      <w:r w:rsidRPr="00681830">
        <w:rPr>
          <w:rFonts w:cs="Abz-2 (Badr)" w:hint="cs"/>
          <w:color w:val="0070C0"/>
          <w:sz w:val="28"/>
          <w:szCs w:val="28"/>
          <w:rtl/>
          <w:lang w:bidi="ar"/>
        </w:rPr>
        <w:t>ّ</w:t>
      </w:r>
      <w:r w:rsidRPr="00681830">
        <w:rPr>
          <w:rFonts w:cs="Abz-2 (Badr)"/>
          <w:color w:val="0070C0"/>
          <w:sz w:val="28"/>
          <w:szCs w:val="28"/>
          <w:rtl/>
          <w:lang w:bidi="ar"/>
        </w:rPr>
        <w:t>ف صدق الطاعة والانقياد عرفا</w:t>
      </w:r>
      <w:r w:rsidRPr="00681830">
        <w:rPr>
          <w:rFonts w:cs="Abz-2 (Badr)" w:hint="cs"/>
          <w:color w:val="0070C0"/>
          <w:sz w:val="28"/>
          <w:szCs w:val="28"/>
          <w:rtl/>
          <w:lang w:bidi="ar"/>
        </w:rPr>
        <w:t>ً</w:t>
      </w:r>
      <w:r w:rsidRPr="00681830">
        <w:rPr>
          <w:rFonts w:cs="Abz-2 (Badr)"/>
          <w:color w:val="0070C0"/>
          <w:sz w:val="28"/>
          <w:szCs w:val="28"/>
          <w:rtl/>
          <w:lang w:bidi="ar"/>
        </w:rPr>
        <w:t xml:space="preserve"> عليه، وعرض نفسها عليه كل</w:t>
      </w:r>
      <w:r w:rsidRPr="00681830">
        <w:rPr>
          <w:rFonts w:cs="Abz-2 (Badr)" w:hint="cs"/>
          <w:color w:val="0070C0"/>
          <w:sz w:val="28"/>
          <w:szCs w:val="28"/>
          <w:rtl/>
          <w:lang w:bidi="ar"/>
        </w:rPr>
        <w:t>ّ</w:t>
      </w:r>
      <w:r w:rsidRPr="00681830">
        <w:rPr>
          <w:rFonts w:cs="Abz-2 (Badr)"/>
          <w:color w:val="0070C0"/>
          <w:sz w:val="28"/>
          <w:szCs w:val="28"/>
          <w:rtl/>
          <w:lang w:bidi="ar"/>
        </w:rPr>
        <w:t xml:space="preserve"> غدوة وعشي</w:t>
      </w:r>
      <w:r w:rsidRPr="00681830">
        <w:rPr>
          <w:rFonts w:cs="Abz-2 (Badr)" w:hint="cs"/>
          <w:color w:val="0070C0"/>
          <w:sz w:val="28"/>
          <w:szCs w:val="28"/>
          <w:rtl/>
          <w:lang w:bidi="ar"/>
        </w:rPr>
        <w:t>ّ</w:t>
      </w:r>
      <w:r w:rsidRPr="00681830">
        <w:rPr>
          <w:rFonts w:cs="Abz-2 (Badr)"/>
          <w:color w:val="0070C0"/>
          <w:sz w:val="28"/>
          <w:szCs w:val="28"/>
          <w:rtl/>
          <w:lang w:bidi="ar"/>
        </w:rPr>
        <w:t>ة لا يقتضي ذلك قطعا</w:t>
      </w:r>
      <w:r w:rsidRPr="00681830">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6"/>
      </w:r>
    </w:p>
    <w:p w14:paraId="31F783D7" w14:textId="77777777" w:rsidR="00896E18" w:rsidRDefault="00896E18" w:rsidP="00896E18">
      <w:pPr>
        <w:widowControl w:val="0"/>
        <w:bidi/>
        <w:spacing w:after="0"/>
        <w:ind w:firstLine="284"/>
        <w:jc w:val="both"/>
        <w:rPr>
          <w:rFonts w:cs="Abz-2 (Badr)"/>
          <w:color w:val="000000" w:themeColor="text1"/>
          <w:sz w:val="28"/>
          <w:szCs w:val="28"/>
          <w:rtl/>
        </w:rPr>
      </w:pPr>
      <w:r w:rsidRPr="009F5003">
        <w:rPr>
          <w:rFonts w:cs="Abz-2 (Badr)"/>
          <w:color w:val="000000" w:themeColor="text1"/>
          <w:sz w:val="28"/>
          <w:szCs w:val="28"/>
          <w:rtl/>
        </w:rPr>
        <w:t>والحقّ في هذ</w:t>
      </w:r>
      <w:r>
        <w:rPr>
          <w:rFonts w:cs="Abz-2 (Badr)" w:hint="cs"/>
          <w:color w:val="000000" w:themeColor="text1"/>
          <w:sz w:val="28"/>
          <w:szCs w:val="28"/>
          <w:rtl/>
        </w:rPr>
        <w:t>ه المسألة</w:t>
      </w:r>
      <w:r w:rsidRPr="009F5003">
        <w:rPr>
          <w:rFonts w:cs="Abz-2 (Badr)"/>
          <w:color w:val="000000" w:themeColor="text1"/>
          <w:sz w:val="28"/>
          <w:szCs w:val="28"/>
          <w:rtl/>
        </w:rPr>
        <w:t xml:space="preserve"> مع </w:t>
      </w:r>
      <w:r>
        <w:rPr>
          <w:rFonts w:cs="Abz-2 (Badr)" w:hint="cs"/>
          <w:color w:val="000000" w:themeColor="text1"/>
          <w:sz w:val="28"/>
          <w:szCs w:val="28"/>
          <w:rtl/>
        </w:rPr>
        <w:t>صاحبي المسالك</w:t>
      </w:r>
      <w:r>
        <w:rPr>
          <w:rFonts w:cs="Abz-2 (Badr)" w:hint="cs"/>
          <w:color w:val="000000" w:themeColor="text1"/>
          <w:sz w:val="28"/>
          <w:szCs w:val="28"/>
          <w:rtl/>
          <w:lang w:bidi="fa-IR"/>
        </w:rPr>
        <w:t xml:space="preserve"> و</w:t>
      </w:r>
      <w:r w:rsidRPr="009F5003">
        <w:rPr>
          <w:rFonts w:cs="Abz-2 (Badr)"/>
          <w:color w:val="000000" w:themeColor="text1"/>
          <w:sz w:val="28"/>
          <w:szCs w:val="28"/>
          <w:rtl/>
        </w:rPr>
        <w:t>الجواهر، حيث إنّ مجرّد استعداد الزوجة وانقيادها يكفي في تحقّق التمكين. وأمّا ما ذكره كاشف اللثام فهو راجع إلى مقام الإثبات لا مقام الثبوت.</w:t>
      </w:r>
    </w:p>
    <w:p w14:paraId="7F899EC0" w14:textId="77777777" w:rsidR="00896E18" w:rsidRDefault="00896E18" w:rsidP="00896E18">
      <w:pPr>
        <w:widowControl w:val="0"/>
        <w:bidi/>
        <w:spacing w:after="0"/>
        <w:ind w:firstLine="284"/>
        <w:jc w:val="both"/>
        <w:rPr>
          <w:rFonts w:cs="Abz-2 (Badr)"/>
          <w:color w:val="000000" w:themeColor="text1"/>
          <w:sz w:val="28"/>
          <w:szCs w:val="28"/>
          <w:rtl/>
        </w:rPr>
      </w:pPr>
      <w:r w:rsidRPr="009F5003">
        <w:rPr>
          <w:rFonts w:cs="Abz-2 (Badr)"/>
          <w:color w:val="000000" w:themeColor="text1"/>
          <w:sz w:val="28"/>
          <w:szCs w:val="28"/>
          <w:rtl/>
        </w:rPr>
        <w:t>وعليه فإنّ استعداد الزوجة وانقيادها يكفي في تحقّق التمكين ثبوتاً</w:t>
      </w:r>
      <w:r>
        <w:rPr>
          <w:rFonts w:cs="Abz-2 (Badr)" w:hint="cs"/>
          <w:color w:val="000000" w:themeColor="text1"/>
          <w:sz w:val="28"/>
          <w:szCs w:val="28"/>
          <w:rtl/>
        </w:rPr>
        <w:t>.</w:t>
      </w:r>
      <w:r w:rsidRPr="009F5003">
        <w:rPr>
          <w:rFonts w:cs="Abz-2 (Badr)"/>
          <w:color w:val="000000" w:themeColor="text1"/>
          <w:sz w:val="28"/>
          <w:szCs w:val="28"/>
          <w:rtl/>
        </w:rPr>
        <w:t xml:space="preserve"> وأمّا في مقام الإثبات فيكفي كلّ ما يعدّ قرينة عرفاً على ذلك، من غير حاجة إلى تصريحها بلفظ يدلّ على استعدادها لاستمتاع الزوج بها</w:t>
      </w:r>
      <w:r>
        <w:rPr>
          <w:rFonts w:cs="Abz-2 (Badr)" w:hint="cs"/>
          <w:color w:val="000000" w:themeColor="text1"/>
          <w:sz w:val="28"/>
          <w:szCs w:val="28"/>
          <w:rtl/>
        </w:rPr>
        <w:t>.</w:t>
      </w:r>
    </w:p>
    <w:p w14:paraId="5D9C2F2C" w14:textId="77777777" w:rsidR="00896E18" w:rsidRDefault="00896E18" w:rsidP="00896E18">
      <w:pPr>
        <w:widowControl w:val="0"/>
        <w:bidi/>
        <w:spacing w:after="0" w:line="257" w:lineRule="auto"/>
        <w:ind w:firstLine="284"/>
        <w:jc w:val="both"/>
        <w:rPr>
          <w:rFonts w:cs="Abz-2 (Badr)"/>
          <w:color w:val="000000" w:themeColor="text1"/>
          <w:sz w:val="28"/>
          <w:szCs w:val="28"/>
          <w:rtl/>
        </w:rPr>
      </w:pPr>
      <w:r>
        <w:rPr>
          <w:rFonts w:cs="Abz-2 (Badr)" w:hint="cs"/>
          <w:color w:val="000000" w:themeColor="text1"/>
          <w:sz w:val="28"/>
          <w:szCs w:val="28"/>
          <w:rtl/>
        </w:rPr>
        <w:t xml:space="preserve">ثمّ إنّه هل </w:t>
      </w:r>
      <w:r w:rsidRPr="009F5003">
        <w:rPr>
          <w:rFonts w:cs="Abz-2 (Badr)"/>
          <w:color w:val="000000" w:themeColor="text1"/>
          <w:sz w:val="28"/>
          <w:szCs w:val="28"/>
          <w:rtl/>
        </w:rPr>
        <w:t>التمكين شرط</w:t>
      </w:r>
      <w:r>
        <w:rPr>
          <w:rFonts w:cs="Abz-2 (Badr)" w:hint="cs"/>
          <w:color w:val="000000" w:themeColor="text1"/>
          <w:sz w:val="28"/>
          <w:szCs w:val="28"/>
          <w:rtl/>
        </w:rPr>
        <w:t xml:space="preserve"> </w:t>
      </w:r>
      <w:r w:rsidRPr="009F5003">
        <w:rPr>
          <w:rFonts w:cs="Abz-2 (Badr)"/>
          <w:color w:val="000000" w:themeColor="text1"/>
          <w:sz w:val="28"/>
          <w:szCs w:val="28"/>
          <w:rtl/>
        </w:rPr>
        <w:t xml:space="preserve">في وجوب النفقة، أم </w:t>
      </w:r>
      <w:r>
        <w:rPr>
          <w:rFonts w:cs="Abz-2 (Badr)" w:hint="cs"/>
          <w:color w:val="000000" w:themeColor="text1"/>
          <w:sz w:val="28"/>
          <w:szCs w:val="28"/>
          <w:rtl/>
        </w:rPr>
        <w:t xml:space="preserve">أنّ </w:t>
      </w:r>
      <w:r w:rsidRPr="009F5003">
        <w:rPr>
          <w:rFonts w:cs="Abz-2 (Badr)"/>
          <w:color w:val="000000" w:themeColor="text1"/>
          <w:sz w:val="28"/>
          <w:szCs w:val="28"/>
          <w:rtl/>
        </w:rPr>
        <w:t xml:space="preserve">النشوز </w:t>
      </w:r>
      <w:r>
        <w:rPr>
          <w:rFonts w:cs="Abz-2 (Badr)" w:hint="cs"/>
          <w:color w:val="000000" w:themeColor="text1"/>
          <w:sz w:val="28"/>
          <w:szCs w:val="28"/>
          <w:rtl/>
        </w:rPr>
        <w:t>هو ال</w:t>
      </w:r>
      <w:r w:rsidRPr="009F5003">
        <w:rPr>
          <w:rFonts w:cs="Abz-2 (Badr)"/>
          <w:color w:val="000000" w:themeColor="text1"/>
          <w:sz w:val="28"/>
          <w:szCs w:val="28"/>
          <w:rtl/>
        </w:rPr>
        <w:t>مانع عنها؟</w:t>
      </w:r>
    </w:p>
    <w:p w14:paraId="4BCA9BE7" w14:textId="77777777" w:rsidR="00896E18" w:rsidRPr="005C5825" w:rsidRDefault="00896E18" w:rsidP="00896E18">
      <w:pPr>
        <w:widowControl w:val="0"/>
        <w:bidi/>
        <w:spacing w:after="0" w:line="257" w:lineRule="auto"/>
        <w:ind w:firstLine="284"/>
        <w:jc w:val="both"/>
        <w:rPr>
          <w:rFonts w:cs="Abz-2 (Badr)"/>
          <w:color w:val="0070C0"/>
          <w:sz w:val="28"/>
          <w:szCs w:val="28"/>
          <w:rtl/>
          <w:lang w:bidi="fa-IR"/>
        </w:rPr>
      </w:pPr>
      <w:r w:rsidRPr="009F5003">
        <w:rPr>
          <w:rFonts w:cs="Abz-2 (Badr)"/>
          <w:color w:val="000000" w:themeColor="text1"/>
          <w:sz w:val="28"/>
          <w:szCs w:val="28"/>
          <w:rtl/>
        </w:rPr>
        <w:t>ذهب صاحب الجواهر إلى أنّ ظاهر كلمات الأصحاب عدم الإشكال في اعتبار التمكين لوجوب النفقة، وإنّما الكلام في أنّه هل يشترط ـ مضافاً إلى التمكين ـ شرط آخر في وجوبها أم لا؟</w:t>
      </w:r>
      <w:r w:rsidRPr="00A516CF">
        <w:rPr>
          <w:rStyle w:val="FootnoteReference"/>
          <w:rFonts w:cs="Abz-2 (Badr)"/>
          <w:color w:val="000000" w:themeColor="text1"/>
          <w:spacing w:val="-6"/>
          <w:sz w:val="28"/>
          <w:szCs w:val="28"/>
          <w:rtl/>
          <w:lang w:bidi="ar"/>
        </w:rPr>
        <w:footnoteReference w:id="7"/>
      </w:r>
      <w:r>
        <w:rPr>
          <w:rFonts w:cs="Abz-2 (Badr)" w:hint="cs"/>
          <w:color w:val="000000" w:themeColor="text1"/>
          <w:sz w:val="28"/>
          <w:szCs w:val="28"/>
          <w:rtl/>
        </w:rPr>
        <w:t xml:space="preserve"> </w:t>
      </w:r>
      <w:r w:rsidRPr="009F5003">
        <w:rPr>
          <w:rFonts w:cs="Abz-2 (Badr)"/>
          <w:color w:val="000000" w:themeColor="text1"/>
          <w:sz w:val="28"/>
          <w:szCs w:val="28"/>
          <w:rtl/>
        </w:rPr>
        <w:t>وقد استند في ذلك إلى كلام الشهيد الثاني حيث قال</w:t>
      </w:r>
      <w:r>
        <w:rPr>
          <w:rFonts w:cs="Abz-2 (Badr)" w:hint="cs"/>
          <w:color w:val="000000" w:themeColor="text1"/>
          <w:sz w:val="28"/>
          <w:szCs w:val="28"/>
          <w:rtl/>
        </w:rPr>
        <w:t xml:space="preserve">: </w:t>
      </w:r>
      <w:r w:rsidRPr="00E93862">
        <w:rPr>
          <w:rFonts w:cs="Abz-2 (Badr)" w:hint="cs"/>
          <w:color w:val="0070C0"/>
          <w:sz w:val="28"/>
          <w:szCs w:val="28"/>
          <w:rtl/>
          <w:lang w:bidi="fa-IR"/>
        </w:rPr>
        <w:t>«</w:t>
      </w:r>
      <w:r w:rsidRPr="00E93862">
        <w:rPr>
          <w:rFonts w:cs="Abz-2 (Badr)" w:hint="cs"/>
          <w:color w:val="0070C0"/>
          <w:sz w:val="28"/>
          <w:szCs w:val="28"/>
          <w:rtl/>
          <w:lang w:bidi="ar"/>
        </w:rPr>
        <w:t>ل</w:t>
      </w:r>
      <w:r w:rsidRPr="005C5825">
        <w:rPr>
          <w:rFonts w:cs="Abz-2 (Badr)"/>
          <w:color w:val="0070C0"/>
          <w:sz w:val="28"/>
          <w:szCs w:val="28"/>
          <w:rtl/>
          <w:lang w:bidi="ar"/>
        </w:rPr>
        <w:t>ا ريب في أن</w:t>
      </w:r>
      <w:r w:rsidRPr="00E93862">
        <w:rPr>
          <w:rFonts w:cs="Abz-2 (Badr)" w:hint="cs"/>
          <w:color w:val="0070C0"/>
          <w:sz w:val="28"/>
          <w:szCs w:val="28"/>
          <w:rtl/>
          <w:lang w:bidi="ar"/>
        </w:rPr>
        <w:t>ّ</w:t>
      </w:r>
      <w:r w:rsidRPr="005C5825">
        <w:rPr>
          <w:rFonts w:cs="Abz-2 (Badr)"/>
          <w:color w:val="0070C0"/>
          <w:sz w:val="28"/>
          <w:szCs w:val="28"/>
          <w:rtl/>
          <w:lang w:bidi="ar"/>
        </w:rPr>
        <w:t xml:space="preserve"> للنفقة تعلّقا</w:t>
      </w:r>
      <w:r w:rsidRPr="00E93862">
        <w:rPr>
          <w:rFonts w:cs="Abz-2 (Badr)" w:hint="cs"/>
          <w:color w:val="0070C0"/>
          <w:sz w:val="28"/>
          <w:szCs w:val="28"/>
          <w:rtl/>
          <w:lang w:bidi="ar"/>
        </w:rPr>
        <w:t>ً</w:t>
      </w:r>
      <w:r w:rsidRPr="005C5825">
        <w:rPr>
          <w:rFonts w:cs="Abz-2 (Badr)"/>
          <w:color w:val="0070C0"/>
          <w:sz w:val="28"/>
          <w:szCs w:val="28"/>
          <w:rtl/>
          <w:lang w:bidi="ar"/>
        </w:rPr>
        <w:t xml:space="preserve"> بالعقد والتمكين جميعا</w:t>
      </w:r>
      <w:r w:rsidRPr="00E93862">
        <w:rPr>
          <w:rFonts w:cs="Abz-2 (Badr)" w:hint="cs"/>
          <w:color w:val="0070C0"/>
          <w:sz w:val="28"/>
          <w:szCs w:val="28"/>
          <w:rtl/>
          <w:lang w:bidi="ar"/>
        </w:rPr>
        <w:t>ً</w:t>
      </w:r>
      <w:r w:rsidRPr="005C5825">
        <w:rPr>
          <w:rFonts w:cs="Abz-2 (Badr)"/>
          <w:color w:val="0070C0"/>
          <w:sz w:val="28"/>
          <w:szCs w:val="28"/>
          <w:rtl/>
          <w:lang w:bidi="ar"/>
        </w:rPr>
        <w:t>، فإن</w:t>
      </w:r>
      <w:r w:rsidRPr="00E93862">
        <w:rPr>
          <w:rFonts w:cs="Abz-2 (Badr)" w:hint="cs"/>
          <w:color w:val="0070C0"/>
          <w:sz w:val="28"/>
          <w:szCs w:val="28"/>
          <w:rtl/>
          <w:lang w:bidi="ar"/>
        </w:rPr>
        <w:t>ّ</w:t>
      </w:r>
      <w:r w:rsidRPr="005C5825">
        <w:rPr>
          <w:rFonts w:cs="Abz-2 (Badr)"/>
          <w:color w:val="0070C0"/>
          <w:sz w:val="28"/>
          <w:szCs w:val="28"/>
          <w:rtl/>
          <w:lang w:bidi="ar"/>
        </w:rPr>
        <w:t>ها لا تجب قبل العقد، ولو نشزت بعد العقد لم تطالب بالنفقة. واختلف في أن</w:t>
      </w:r>
      <w:r w:rsidRPr="00E93862">
        <w:rPr>
          <w:rFonts w:cs="Abz-2 (Badr)" w:hint="cs"/>
          <w:color w:val="0070C0"/>
          <w:sz w:val="28"/>
          <w:szCs w:val="28"/>
          <w:rtl/>
          <w:lang w:bidi="ar"/>
        </w:rPr>
        <w:t>ّ</w:t>
      </w:r>
      <w:r w:rsidRPr="005C5825">
        <w:rPr>
          <w:rFonts w:cs="Abz-2 (Badr)"/>
          <w:color w:val="0070C0"/>
          <w:sz w:val="28"/>
          <w:szCs w:val="28"/>
          <w:rtl/>
          <w:lang w:bidi="ar"/>
        </w:rPr>
        <w:t>ها بم تجب‌؟ فقيل: بالعقد كالمهر، لا بالتمكين</w:t>
      </w:r>
      <w:r w:rsidRPr="00E93862">
        <w:rPr>
          <w:rFonts w:cs="Abz-2 (Badr)" w:hint="cs"/>
          <w:color w:val="0070C0"/>
          <w:sz w:val="28"/>
          <w:szCs w:val="28"/>
          <w:rtl/>
          <w:lang w:bidi="ar"/>
        </w:rPr>
        <w:t xml:space="preserve">... </w:t>
      </w:r>
      <w:r w:rsidRPr="005C5825">
        <w:rPr>
          <w:rFonts w:cs="Abz-2 (Badr)"/>
          <w:color w:val="0070C0"/>
          <w:sz w:val="28"/>
          <w:szCs w:val="28"/>
          <w:rtl/>
          <w:lang w:bidi="ar"/>
        </w:rPr>
        <w:t>وقيل: لا تجب بالعقد مجرّدا</w:t>
      </w:r>
      <w:r w:rsidRPr="00E93862">
        <w:rPr>
          <w:rFonts w:cs="Abz-2 (Badr)" w:hint="cs"/>
          <w:color w:val="0070C0"/>
          <w:sz w:val="28"/>
          <w:szCs w:val="28"/>
          <w:rtl/>
          <w:lang w:bidi="ar"/>
        </w:rPr>
        <w:t>ً</w:t>
      </w:r>
      <w:r w:rsidRPr="005C5825">
        <w:rPr>
          <w:rFonts w:cs="Abz-2 (Badr)"/>
          <w:color w:val="0070C0"/>
          <w:sz w:val="28"/>
          <w:szCs w:val="28"/>
          <w:rtl/>
          <w:lang w:bidi="ar"/>
        </w:rPr>
        <w:t>، بل بالتمكين</w:t>
      </w:r>
      <w:r w:rsidRPr="00E93862">
        <w:rPr>
          <w:rFonts w:cs="Abz-2 (Badr)" w:hint="cs"/>
          <w:color w:val="0070C0"/>
          <w:sz w:val="28"/>
          <w:szCs w:val="28"/>
          <w:rtl/>
          <w:lang w:bidi="ar"/>
        </w:rPr>
        <w:t>.»</w:t>
      </w:r>
      <w:r w:rsidRPr="00A516CF">
        <w:rPr>
          <w:rStyle w:val="FootnoteReference"/>
          <w:rFonts w:cs="Abz-2 (Badr)"/>
          <w:color w:val="000000" w:themeColor="text1"/>
          <w:spacing w:val="-6"/>
          <w:sz w:val="28"/>
          <w:szCs w:val="28"/>
          <w:rtl/>
          <w:lang w:bidi="ar"/>
        </w:rPr>
        <w:footnoteReference w:id="8"/>
      </w:r>
    </w:p>
    <w:p w14:paraId="36CBBC7E" w14:textId="77777777" w:rsidR="00896E18" w:rsidRDefault="00896E18" w:rsidP="00896E18">
      <w:pPr>
        <w:widowControl w:val="0"/>
        <w:bidi/>
        <w:spacing w:after="0" w:line="257" w:lineRule="auto"/>
        <w:ind w:firstLine="284"/>
        <w:jc w:val="both"/>
        <w:rPr>
          <w:rFonts w:cs="Abz-2 (Badr)"/>
          <w:color w:val="000000" w:themeColor="text1"/>
          <w:sz w:val="28"/>
          <w:szCs w:val="28"/>
          <w:rtl/>
        </w:rPr>
      </w:pPr>
      <w:r w:rsidRPr="009F5003">
        <w:rPr>
          <w:rFonts w:cs="Abz-2 (Badr)"/>
          <w:color w:val="000000" w:themeColor="text1"/>
          <w:sz w:val="28"/>
          <w:szCs w:val="28"/>
          <w:rtl/>
        </w:rPr>
        <w:t xml:space="preserve">غير أنّ ما ادّعاه صاحب الجواهر غير قابل للالتزام؛ إذ لو لم يكن هناك إشكال في اعتبار التمكين في وجوب النفقة، لم </w:t>
      </w:r>
      <w:r w:rsidRPr="009F5003">
        <w:rPr>
          <w:rFonts w:cs="Abz-2 (Badr)"/>
          <w:color w:val="000000" w:themeColor="text1"/>
          <w:sz w:val="28"/>
          <w:szCs w:val="28"/>
          <w:rtl/>
        </w:rPr>
        <w:lastRenderedPageBreak/>
        <w:t>يبق محلّ للبحث، لعدم وجود أمر آخر يحتمل دخالته في وجوبها غير التمكين</w:t>
      </w:r>
      <w:r>
        <w:rPr>
          <w:rFonts w:cs="Abz-2 (Badr)" w:hint="cs"/>
          <w:color w:val="000000" w:themeColor="text1"/>
          <w:sz w:val="28"/>
          <w:szCs w:val="28"/>
          <w:rtl/>
        </w:rPr>
        <w:t>.</w:t>
      </w:r>
    </w:p>
    <w:p w14:paraId="410B03DE" w14:textId="77777777" w:rsidR="00896E18" w:rsidRDefault="00896E18" w:rsidP="00896E18">
      <w:pPr>
        <w:widowControl w:val="0"/>
        <w:bidi/>
        <w:spacing w:after="0" w:line="257" w:lineRule="auto"/>
        <w:ind w:firstLine="284"/>
        <w:jc w:val="both"/>
        <w:rPr>
          <w:rFonts w:cs="Abz-2 (Badr)"/>
          <w:color w:val="000000" w:themeColor="text1"/>
          <w:sz w:val="28"/>
          <w:szCs w:val="28"/>
          <w:rtl/>
        </w:rPr>
      </w:pPr>
      <w:r w:rsidRPr="001E7A34">
        <w:rPr>
          <w:rFonts w:cs="Abz-2 (Badr)"/>
          <w:color w:val="000000" w:themeColor="text1"/>
          <w:sz w:val="28"/>
          <w:szCs w:val="28"/>
          <w:rtl/>
        </w:rPr>
        <w:t>وعليه فالتوجيه الصحيح لكلمات الأصحاب أنّ ما اعتبروه مفروغاً عنه من التمكين إنّما يرجع إلى مقام الثبوت؛ إذ حيث إنّ التمكين والنشوز ضدّان لا ثالث لهما، فوجود أحدهما ملازم لعدم الآخر، فلا فرق في مقام الثبوت بين القول باشتراط التمكين في وجوب النفقة أو القول بمانعيّة النشوز عنها. وأمّا في مقام الإثبات ف</w:t>
      </w:r>
      <w:r>
        <w:rPr>
          <w:rFonts w:cs="Abz-2 (Badr)" w:hint="cs"/>
          <w:color w:val="000000" w:themeColor="text1"/>
          <w:sz w:val="28"/>
          <w:szCs w:val="28"/>
          <w:rtl/>
        </w:rPr>
        <w:t xml:space="preserve">هناك فرق </w:t>
      </w:r>
      <w:r w:rsidRPr="001E7A34">
        <w:rPr>
          <w:rFonts w:cs="Abz-2 (Badr)"/>
          <w:color w:val="000000" w:themeColor="text1"/>
          <w:sz w:val="28"/>
          <w:szCs w:val="28"/>
          <w:rtl/>
        </w:rPr>
        <w:t>بين المبنيين</w:t>
      </w:r>
      <w:r>
        <w:rPr>
          <w:rFonts w:cs="Abz-2 (Badr)" w:hint="cs"/>
          <w:color w:val="000000" w:themeColor="text1"/>
          <w:sz w:val="28"/>
          <w:szCs w:val="28"/>
          <w:rtl/>
        </w:rPr>
        <w:t>،</w:t>
      </w:r>
      <w:r w:rsidRPr="001E7A34">
        <w:rPr>
          <w:rFonts w:cs="Abz-2 (Badr)"/>
          <w:color w:val="000000" w:themeColor="text1"/>
          <w:sz w:val="28"/>
          <w:szCs w:val="28"/>
          <w:rtl/>
        </w:rPr>
        <w:t xml:space="preserve"> لأنّ إثبات انتفاء أحدهما بالأصل لا يستلزم إثبات وجود الآخر إلّا على نحو مثبت</w:t>
      </w:r>
      <w:r>
        <w:rPr>
          <w:rFonts w:cs="Abz-2 (Badr)" w:hint="cs"/>
          <w:color w:val="000000" w:themeColor="text1"/>
          <w:sz w:val="28"/>
          <w:szCs w:val="28"/>
          <w:rtl/>
        </w:rPr>
        <w:t>.</w:t>
      </w:r>
    </w:p>
    <w:p w14:paraId="5EA02A2C" w14:textId="77777777" w:rsidR="00896E18" w:rsidRDefault="00896E18" w:rsidP="00896E18">
      <w:pPr>
        <w:widowControl w:val="0"/>
        <w:bidi/>
        <w:spacing w:after="0" w:line="257" w:lineRule="auto"/>
        <w:ind w:firstLine="284"/>
        <w:jc w:val="both"/>
        <w:rPr>
          <w:rFonts w:cs="Abz-2 (Badr)"/>
          <w:color w:val="000000" w:themeColor="text1"/>
          <w:sz w:val="28"/>
          <w:szCs w:val="28"/>
          <w:rtl/>
        </w:rPr>
      </w:pPr>
      <w:r w:rsidRPr="001E7A34">
        <w:rPr>
          <w:rFonts w:cs="Abz-2 (Badr)"/>
          <w:color w:val="000000" w:themeColor="text1"/>
          <w:sz w:val="28"/>
          <w:szCs w:val="28"/>
          <w:rtl/>
        </w:rPr>
        <w:t xml:space="preserve">وممّا يؤيّد ما ذكرناه أنّ الشهيد الثاني في عبارته المتقدّمة لم يقل: «لا ريب في اعتبار التمكين في النفقة»، بل قال: </w:t>
      </w:r>
      <w:r w:rsidRPr="001E7A34">
        <w:rPr>
          <w:rFonts w:cs="Abz-2 (Badr)"/>
          <w:color w:val="0070C0"/>
          <w:sz w:val="28"/>
          <w:szCs w:val="28"/>
          <w:rtl/>
        </w:rPr>
        <w:t>«لا ريب في أنّ للنفقة تعلّقاً بالعقد والتمكين جميعاً»</w:t>
      </w:r>
      <w:r>
        <w:rPr>
          <w:rFonts w:cs="Abz-2 (Badr)" w:hint="cs"/>
          <w:color w:val="000000" w:themeColor="text1"/>
          <w:sz w:val="28"/>
          <w:szCs w:val="28"/>
          <w:rtl/>
        </w:rPr>
        <w:t xml:space="preserve">، </w:t>
      </w:r>
      <w:r w:rsidRPr="001E7A34">
        <w:rPr>
          <w:rFonts w:cs="Abz-2 (Badr)"/>
          <w:color w:val="000000" w:themeColor="text1"/>
          <w:sz w:val="28"/>
          <w:szCs w:val="28"/>
          <w:rtl/>
        </w:rPr>
        <w:t>ومن الواضح أنّ التعبير بـ «التعلّق» بدلاً من الشرطيّة أو الاعتبار يدلّ على أنّ مدخليّة التمكين ثبوتاً في وجوب النفقة أعمّ من أن يجعل شرطاً لوجوبها إثباتاً أو يجعل النشوز مانعاً عنها</w:t>
      </w:r>
      <w:r>
        <w:rPr>
          <w:rFonts w:cs="Abz-2 (Badr)" w:hint="cs"/>
          <w:color w:val="000000" w:themeColor="text1"/>
          <w:sz w:val="28"/>
          <w:szCs w:val="28"/>
          <w:rtl/>
        </w:rPr>
        <w:t>.</w:t>
      </w:r>
    </w:p>
    <w:p w14:paraId="417EC19C" w14:textId="77777777" w:rsidR="00896E18" w:rsidRDefault="00896E18" w:rsidP="00896E18">
      <w:pPr>
        <w:widowControl w:val="0"/>
        <w:bidi/>
        <w:spacing w:after="0" w:line="257" w:lineRule="auto"/>
        <w:ind w:firstLine="284"/>
        <w:jc w:val="both"/>
        <w:rPr>
          <w:rFonts w:cs="Abz-2 (Badr)"/>
          <w:color w:val="000000" w:themeColor="text1"/>
          <w:sz w:val="28"/>
          <w:szCs w:val="28"/>
          <w:rtl/>
        </w:rPr>
      </w:pPr>
      <w:r w:rsidRPr="001E7A34">
        <w:rPr>
          <w:rFonts w:cs="Abz-2 (Badr)"/>
          <w:color w:val="000000" w:themeColor="text1"/>
          <w:sz w:val="28"/>
          <w:szCs w:val="28"/>
          <w:rtl/>
        </w:rPr>
        <w:t>وعليه فمحلّ البحث في هذا المقام هو أنّ ما يكون في مقام الإثبات سبباً لوجوب نفقة الزوجة على الزوج هل هو مجرّد العقد بحيث يجب على الزوج الإنفاق ما لم يثبت نشوز الزوجة، أم أنّه لابدّ بعد العقد من إثبات تمكين الزوجة للزوج ليجب عليه الإنفاق؟</w:t>
      </w:r>
    </w:p>
    <w:p w14:paraId="36D65F87" w14:textId="77777777" w:rsidR="00896E18" w:rsidRDefault="00896E18" w:rsidP="00896E18">
      <w:pPr>
        <w:widowControl w:val="0"/>
        <w:bidi/>
        <w:spacing w:after="0" w:line="257" w:lineRule="auto"/>
        <w:ind w:firstLine="284"/>
        <w:jc w:val="both"/>
        <w:rPr>
          <w:rFonts w:cs="Abz-2 (Badr)"/>
          <w:color w:val="000000" w:themeColor="text1"/>
          <w:sz w:val="28"/>
          <w:szCs w:val="28"/>
          <w:rtl/>
          <w:lang w:bidi="ar"/>
        </w:rPr>
      </w:pPr>
      <w:r w:rsidRPr="001E7A34">
        <w:rPr>
          <w:rFonts w:cs="Abz-2 (Badr)"/>
          <w:color w:val="000000" w:themeColor="text1"/>
          <w:sz w:val="28"/>
          <w:szCs w:val="28"/>
          <w:rtl/>
        </w:rPr>
        <w:t>وسنبحث هذه المسألة في الجلسة القادمة إن شاء الله تعالى</w:t>
      </w:r>
      <w:r>
        <w:rPr>
          <w:rFonts w:cs="Abz-2 (Badr)" w:hint="cs"/>
          <w:color w:val="000000" w:themeColor="text1"/>
          <w:sz w:val="28"/>
          <w:szCs w:val="28"/>
          <w:rtl/>
        </w:rPr>
        <w:t>.</w:t>
      </w:r>
    </w:p>
    <w:bookmarkEnd w:id="1"/>
    <w:p w14:paraId="2AD04477" w14:textId="7D63A4A4" w:rsidR="00B706A3" w:rsidRPr="00896E18" w:rsidRDefault="00B706A3" w:rsidP="00896E18">
      <w:pPr>
        <w:rPr>
          <w:rtl/>
        </w:rPr>
      </w:pPr>
    </w:p>
    <w:sectPr w:rsidR="00B706A3" w:rsidRPr="00896E18"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6DCE" w14:textId="77777777" w:rsidR="00D02739" w:rsidRDefault="00D02739" w:rsidP="00F71127">
      <w:pPr>
        <w:spacing w:after="0" w:line="240" w:lineRule="auto"/>
      </w:pPr>
      <w:r>
        <w:separator/>
      </w:r>
    </w:p>
  </w:endnote>
  <w:endnote w:type="continuationSeparator" w:id="0">
    <w:p w14:paraId="5EC0F805" w14:textId="77777777" w:rsidR="00D02739" w:rsidRDefault="00D0273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5B63" w14:textId="77777777" w:rsidR="00D02739" w:rsidRDefault="00D02739" w:rsidP="00EE25C0">
      <w:pPr>
        <w:bidi/>
        <w:spacing w:after="0" w:line="240" w:lineRule="auto"/>
      </w:pPr>
      <w:r>
        <w:separator/>
      </w:r>
    </w:p>
  </w:footnote>
  <w:footnote w:type="continuationSeparator" w:id="0">
    <w:p w14:paraId="31400878" w14:textId="77777777" w:rsidR="00D02739" w:rsidRDefault="00D02739" w:rsidP="00F71127">
      <w:pPr>
        <w:bidi/>
        <w:spacing w:after="0" w:line="240" w:lineRule="auto"/>
      </w:pPr>
      <w:r>
        <w:continuationSeparator/>
      </w:r>
    </w:p>
  </w:footnote>
  <w:footnote w:id="1">
    <w:p w14:paraId="591BA06C"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ـ مسالك</w:t>
      </w:r>
      <w:r>
        <w:rPr>
          <w:rFonts w:cs="Abz-2 (Badr)" w:hint="cs"/>
          <w:rtl/>
          <w:lang w:bidi="fa-IR"/>
        </w:rPr>
        <w:t xml:space="preserve"> الأفهام</w:t>
      </w:r>
      <w:r>
        <w:rPr>
          <w:rFonts w:cs="Abz-2 (Badr)" w:hint="cs"/>
          <w:rtl/>
        </w:rPr>
        <w:t>،ج8،ص440.</w:t>
      </w:r>
    </w:p>
  </w:footnote>
  <w:footnote w:id="2">
    <w:p w14:paraId="13E63C09"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جواهر الکلام،ج31،ص307.</w:t>
      </w:r>
    </w:p>
  </w:footnote>
  <w:footnote w:id="3">
    <w:p w14:paraId="0299CEDC"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جواهر الکلام،ج31،ص303.</w:t>
      </w:r>
    </w:p>
  </w:footnote>
  <w:footnote w:id="4">
    <w:p w14:paraId="61A17A21"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مسالك ال</w:t>
      </w:r>
      <w:r>
        <w:rPr>
          <w:rFonts w:cs="Abz-2 (Badr)" w:hint="cs"/>
          <w:rtl/>
          <w:lang w:bidi="fa-IR"/>
        </w:rPr>
        <w:t>أفهام</w:t>
      </w:r>
      <w:r>
        <w:rPr>
          <w:rFonts w:cs="Abz-2 (Badr)" w:hint="cs"/>
          <w:rtl/>
        </w:rPr>
        <w:t>،ج8،ص440 و 441.</w:t>
      </w:r>
    </w:p>
  </w:footnote>
  <w:footnote w:id="5">
    <w:p w14:paraId="0AD72447"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مسالك</w:t>
      </w:r>
      <w:r>
        <w:rPr>
          <w:rFonts w:cs="Abz-2 (Badr)" w:hint="cs"/>
          <w:rtl/>
          <w:lang w:bidi="fa-IR"/>
        </w:rPr>
        <w:t xml:space="preserve"> الأفهام</w:t>
      </w:r>
      <w:r>
        <w:rPr>
          <w:rFonts w:cs="Abz-2 (Badr)" w:hint="cs"/>
          <w:rtl/>
        </w:rPr>
        <w:t>،ج8،ص440.</w:t>
      </w:r>
    </w:p>
  </w:footnote>
  <w:footnote w:id="6">
    <w:p w14:paraId="7A976B91"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جواهر الکلام،ج31،ص307.</w:t>
      </w:r>
    </w:p>
  </w:footnote>
  <w:footnote w:id="7">
    <w:p w14:paraId="1E068739"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راجع: جواهر الکلام،ج31،ص303.</w:t>
      </w:r>
    </w:p>
  </w:footnote>
  <w:footnote w:id="8">
    <w:p w14:paraId="7B7E5EC2" w14:textId="77777777" w:rsidR="00896E18" w:rsidRPr="00A516CF" w:rsidRDefault="00896E18" w:rsidP="00896E18">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مسالك ال</w:t>
      </w:r>
      <w:r>
        <w:rPr>
          <w:rFonts w:cs="Abz-2 (Badr)" w:hint="cs"/>
          <w:rtl/>
          <w:lang w:bidi="fa-IR"/>
        </w:rPr>
        <w:t>أفهام</w:t>
      </w:r>
      <w:r>
        <w:rPr>
          <w:rFonts w:cs="Abz-2 (Badr)" w:hint="cs"/>
          <w:rtl/>
        </w:rPr>
        <w:t>،ج8،ص440 و 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0C0DB1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896E18">
                            <w:rPr>
                              <w:rFonts w:cs="B Mehr" w:hint="cs"/>
                              <w:rtl/>
                              <w:lang w:bidi="fa-IR"/>
                            </w:rPr>
                            <w:t>چهار</w:t>
                          </w:r>
                          <w:r w:rsidR="0063552D">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896E18">
                            <w:rPr>
                              <w:rFonts w:cs="B Mehr" w:hint="cs"/>
                              <w:rtl/>
                              <w:lang w:bidi="fa-IR"/>
                            </w:rPr>
                            <w:t>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0C0DB1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896E18">
                      <w:rPr>
                        <w:rFonts w:cs="B Mehr" w:hint="cs"/>
                        <w:rtl/>
                        <w:lang w:bidi="fa-IR"/>
                      </w:rPr>
                      <w:t>چهار</w:t>
                    </w:r>
                    <w:r w:rsidR="0063552D">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896E18">
                      <w:rPr>
                        <w:rFonts w:cs="B Mehr" w:hint="cs"/>
                        <w:rtl/>
                        <w:lang w:bidi="fa-IR"/>
                      </w:rPr>
                      <w:t>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5</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607</cp:revision>
  <cp:lastPrinted>2025-04-14T09:12:00Z</cp:lastPrinted>
  <dcterms:created xsi:type="dcterms:W3CDTF">2022-10-16T08:36:00Z</dcterms:created>
  <dcterms:modified xsi:type="dcterms:W3CDTF">2025-10-02T10:33:00Z</dcterms:modified>
</cp:coreProperties>
</file>