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DFE03" w14:textId="77777777" w:rsidR="0063552D" w:rsidRDefault="0063552D" w:rsidP="0063552D">
      <w:pPr>
        <w:widowControl w:val="0"/>
        <w:bidi/>
        <w:spacing w:after="0"/>
        <w:jc w:val="center"/>
        <w:rPr>
          <w:rFonts w:cs="QuranTaha"/>
          <w:sz w:val="28"/>
          <w:szCs w:val="28"/>
          <w:lang w:bidi="fa-IR"/>
        </w:rPr>
      </w:pPr>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30567123" w14:textId="77777777" w:rsidR="0063552D" w:rsidRDefault="0063552D" w:rsidP="0063552D">
      <w:pPr>
        <w:widowControl w:val="0"/>
        <w:bidi/>
        <w:spacing w:after="0"/>
        <w:jc w:val="center"/>
        <w:rPr>
          <w:rFonts w:cs="B Mitra" w:hint="cs"/>
          <w:b/>
          <w:bCs/>
          <w:sz w:val="32"/>
          <w:szCs w:val="32"/>
          <w:rtl/>
          <w:lang w:bidi="fa-IR"/>
        </w:rPr>
      </w:pPr>
      <w:r>
        <w:rPr>
          <w:rFonts w:cs="B Mitra" w:hint="cs"/>
          <w:b/>
          <w:bCs/>
          <w:sz w:val="32"/>
          <w:szCs w:val="32"/>
          <w:rtl/>
          <w:lang w:bidi="fa-IR"/>
        </w:rPr>
        <w:t>تقریر بحث فقه</w:t>
      </w:r>
    </w:p>
    <w:p w14:paraId="7F3F2075" w14:textId="77777777" w:rsidR="0063552D" w:rsidRDefault="0063552D" w:rsidP="0063552D">
      <w:pPr>
        <w:widowControl w:val="0"/>
        <w:bidi/>
        <w:spacing w:after="0"/>
        <w:jc w:val="center"/>
        <w:rPr>
          <w:rFonts w:cs="B Mitra" w:hint="cs"/>
          <w:b/>
          <w:bCs/>
          <w:sz w:val="32"/>
          <w:szCs w:val="32"/>
          <w:rtl/>
          <w:lang w:bidi="fa-IR"/>
        </w:rPr>
      </w:pPr>
      <w:r>
        <w:rPr>
          <w:rFonts w:cs="B Mitra" w:hint="cs"/>
          <w:b/>
          <w:bCs/>
          <w:sz w:val="32"/>
          <w:szCs w:val="32"/>
          <w:rtl/>
          <w:lang w:bidi="fa-IR"/>
        </w:rPr>
        <w:t>جلسه 842</w:t>
      </w:r>
    </w:p>
    <w:p w14:paraId="33CD130E" w14:textId="77777777" w:rsidR="0063552D" w:rsidRDefault="0063552D" w:rsidP="0063552D">
      <w:pPr>
        <w:widowControl w:val="0"/>
        <w:bidi/>
        <w:spacing w:after="0"/>
        <w:ind w:firstLine="284"/>
        <w:jc w:val="both"/>
        <w:rPr>
          <w:rFonts w:cs="Abz-2 (Badr)" w:hint="cs"/>
          <w:sz w:val="28"/>
          <w:szCs w:val="28"/>
          <w:rtl/>
          <w:lang w:bidi="fa-IR"/>
        </w:rPr>
      </w:pPr>
      <w:bookmarkStart w:id="0" w:name="_Hlk159096966"/>
    </w:p>
    <w:p w14:paraId="5D60BEF3" w14:textId="77777777" w:rsidR="0063552D" w:rsidRDefault="0063552D" w:rsidP="0063552D">
      <w:pPr>
        <w:widowControl w:val="0"/>
        <w:bidi/>
        <w:spacing w:after="0"/>
        <w:ind w:firstLine="284"/>
        <w:jc w:val="both"/>
        <w:rPr>
          <w:rFonts w:cs="Abz-2 (Badr)" w:hint="cs"/>
          <w:color w:val="000000" w:themeColor="text1"/>
          <w:sz w:val="28"/>
          <w:szCs w:val="28"/>
          <w:rtl/>
          <w:lang w:bidi="ar"/>
        </w:rPr>
      </w:pPr>
      <w:bookmarkStart w:id="1" w:name="_Hlk209798859"/>
      <w:bookmarkEnd w:id="0"/>
      <w:r>
        <w:rPr>
          <w:rFonts w:cs="Abz-2 (Badr)" w:hint="cs"/>
          <w:color w:val="000000" w:themeColor="text1"/>
          <w:sz w:val="28"/>
          <w:szCs w:val="28"/>
          <w:rtl/>
          <w:lang w:bidi="ar"/>
        </w:rPr>
        <w:t>جلسه قبل گفتيم که نشوز مانع استحقاق زوجه برای نفقه می</w:t>
      </w:r>
      <w:r>
        <w:rPr>
          <w:rFonts w:cs="Abz-2 (Badr)" w:hint="cs"/>
          <w:color w:val="000000" w:themeColor="text1"/>
          <w:sz w:val="28"/>
          <w:szCs w:val="28"/>
          <w:rtl/>
          <w:lang w:bidi="ar"/>
        </w:rPr>
        <w:softHyphen/>
        <w:t>گردد و استدلال بر آن را نيز ذکر کرديم.</w:t>
      </w:r>
    </w:p>
    <w:p w14:paraId="638A5953" w14:textId="77777777" w:rsidR="0063552D" w:rsidRDefault="0063552D" w:rsidP="0063552D">
      <w:pPr>
        <w:widowControl w:val="0"/>
        <w:bidi/>
        <w:spacing w:after="0"/>
        <w:ind w:firstLine="284"/>
        <w:jc w:val="both"/>
        <w:rPr>
          <w:rFonts w:cs="Abz-2 (Badr)" w:hint="cs"/>
          <w:color w:val="000000" w:themeColor="text1"/>
          <w:sz w:val="28"/>
          <w:szCs w:val="28"/>
          <w:rtl/>
          <w:lang w:bidi="ar"/>
        </w:rPr>
      </w:pPr>
      <w:bookmarkStart w:id="2" w:name="_Hlk210056738"/>
      <w:r>
        <w:rPr>
          <w:rFonts w:cs="Abz-2 (Badr)" w:hint="cs"/>
          <w:color w:val="000000" w:themeColor="text1"/>
          <w:sz w:val="28"/>
          <w:szCs w:val="28"/>
          <w:rtl/>
          <w:lang w:bidi="ar"/>
        </w:rPr>
        <w:t xml:space="preserve">البته </w:t>
      </w:r>
      <w:r>
        <w:rPr>
          <w:rFonts w:cs="Abz-2 (Badr)" w:hint="cs"/>
          <w:color w:val="000000" w:themeColor="text1"/>
          <w:sz w:val="28"/>
          <w:szCs w:val="28"/>
          <w:rtl/>
        </w:rPr>
        <w:t>برخی برای اثبات اين مطلب به تقابلی بودن حقوق زوجين استناد کرده‌اند؛ بدين معنا که حق هر يک از زوجين بر ديگری، در برابر حقی است که آن ديگری بر عهده وی دارد. بنابر اين، اگر يکی از آنان از ادای حق ديگری امتناع ورزد، ديگری نيز مجاز خواهد بود که از ادای حق او خودداری نمايد.</w:t>
      </w:r>
    </w:p>
    <w:p w14:paraId="4D91B851" w14:textId="77777777" w:rsidR="0063552D" w:rsidRDefault="0063552D" w:rsidP="0063552D">
      <w:pPr>
        <w:widowControl w:val="0"/>
        <w:bidi/>
        <w:spacing w:after="0"/>
        <w:ind w:firstLine="284"/>
        <w:jc w:val="both"/>
        <w:rPr>
          <w:rFonts w:cs="Abz-2 (Badr)"/>
          <w:color w:val="000000" w:themeColor="text1"/>
          <w:sz w:val="28"/>
          <w:szCs w:val="28"/>
          <w:lang w:bidi="ar"/>
        </w:rPr>
      </w:pPr>
      <w:r>
        <w:rPr>
          <w:rFonts w:cs="Abz-2 (Badr)" w:hint="cs"/>
          <w:color w:val="000000" w:themeColor="text1"/>
          <w:sz w:val="28"/>
          <w:szCs w:val="28"/>
          <w:rtl/>
        </w:rPr>
        <w:t>اما پيش‌تر و در بحث جواز امتناع زوجه از تمکين خاص تا زمانی که مهر را به طور کامل دريافت نکرده است، گذشت که استناد به اين استدلال برای جواز امتناع از ادای حق با اشکال روبه‌رو است؛ زيرا زوجين حقوق متعددی بر عهده يکديگر دارند، و معياری روشن در دست نيست که مشخص سازد کدام يک از اين حقوق در برابر کدام حق طرف مقابل قرار گرفته است تا بتوان بر اساس آن حکم کرد که در صورت امتناع يکی از آنان از ادای حقی، ديگری نيز مجاز به امتناع از حق مقابل آن می</w:t>
      </w:r>
      <w:r>
        <w:rPr>
          <w:rFonts w:cs="Abz-2 (Badr)" w:hint="cs"/>
          <w:color w:val="000000" w:themeColor="text1"/>
          <w:sz w:val="28"/>
          <w:szCs w:val="28"/>
          <w:rtl/>
        </w:rPr>
        <w:softHyphen/>
        <w:t>باشد</w:t>
      </w:r>
      <w:r>
        <w:rPr>
          <w:rFonts w:cs="Abz-2 (Badr)" w:hint="cs"/>
          <w:color w:val="000000" w:themeColor="text1"/>
          <w:sz w:val="28"/>
          <w:szCs w:val="28"/>
          <w:rtl/>
          <w:lang w:bidi="ar"/>
        </w:rPr>
        <w:t>.</w:t>
      </w:r>
    </w:p>
    <w:bookmarkEnd w:id="2"/>
    <w:p w14:paraId="6A58DC3B" w14:textId="77777777" w:rsidR="0063552D" w:rsidRDefault="0063552D" w:rsidP="0063552D">
      <w:pPr>
        <w:widowControl w:val="0"/>
        <w:bidi/>
        <w:spacing w:after="0"/>
        <w:ind w:firstLine="284"/>
        <w:jc w:val="both"/>
        <w:rPr>
          <w:rFonts w:cs="Abz-2 (Badr)" w:hint="cs"/>
          <w:color w:val="000000" w:themeColor="text1"/>
          <w:sz w:val="28"/>
          <w:szCs w:val="28"/>
          <w:rtl/>
          <w:lang w:bidi="ar"/>
        </w:rPr>
      </w:pPr>
      <w:r>
        <w:rPr>
          <w:rFonts w:cs="Abz-2 (Badr)" w:hint="cs"/>
          <w:color w:val="000000" w:themeColor="text1"/>
          <w:sz w:val="28"/>
          <w:szCs w:val="28"/>
          <w:rtl/>
          <w:lang w:bidi="ar"/>
        </w:rPr>
        <w:t>اما آيا به مجرد امتناع زوجه از هر نحو تمکينی نشوز حاصل می</w:t>
      </w:r>
      <w:r>
        <w:rPr>
          <w:rFonts w:cs="Abz-2 (Badr)" w:hint="cs"/>
          <w:color w:val="000000" w:themeColor="text1"/>
          <w:sz w:val="28"/>
          <w:szCs w:val="28"/>
          <w:rtl/>
          <w:lang w:bidi="ar"/>
        </w:rPr>
        <w:softHyphen/>
        <w:t>شود؟</w:t>
      </w:r>
    </w:p>
    <w:p w14:paraId="6E05B758" w14:textId="77777777" w:rsidR="0063552D" w:rsidRDefault="0063552D" w:rsidP="0063552D">
      <w:pPr>
        <w:widowControl w:val="0"/>
        <w:bidi/>
        <w:spacing w:after="0"/>
        <w:ind w:firstLine="284"/>
        <w:jc w:val="both"/>
        <w:rPr>
          <w:rFonts w:cs="Abz-2 (Badr)" w:hint="cs"/>
          <w:color w:val="0070C0"/>
          <w:sz w:val="28"/>
          <w:szCs w:val="28"/>
          <w:rtl/>
          <w:lang w:bidi="ar"/>
        </w:rPr>
      </w:pPr>
      <w:r>
        <w:rPr>
          <w:rFonts w:cs="Abz-2 (Badr)" w:hint="cs"/>
          <w:color w:val="000000" w:themeColor="text1"/>
          <w:sz w:val="28"/>
          <w:szCs w:val="28"/>
          <w:rtl/>
          <w:lang w:bidi="ar"/>
        </w:rPr>
        <w:t>علامه در قواعد می</w:t>
      </w:r>
      <w:r>
        <w:rPr>
          <w:rFonts w:cs="Abz-2 (Badr)" w:hint="cs"/>
          <w:color w:val="000000" w:themeColor="text1"/>
          <w:sz w:val="28"/>
          <w:szCs w:val="28"/>
          <w:rtl/>
          <w:lang w:bidi="ar"/>
        </w:rPr>
        <w:softHyphen/>
        <w:t xml:space="preserve">فرمايد: </w:t>
      </w:r>
      <w:r>
        <w:rPr>
          <w:rFonts w:cs="Abz-2 (Badr)" w:hint="cs"/>
          <w:color w:val="0070C0"/>
          <w:sz w:val="28"/>
          <w:szCs w:val="28"/>
          <w:rtl/>
          <w:lang w:bidi="ar"/>
        </w:rPr>
        <w:t>«إنّما تجب النفقة بالعقد الدائم مع التمكين التامّ‌، ولا تجب بالمتعة، ولا لغير الممكّنة من نفسها كلّ‌ وقت في أيّ‌ موضع أراد؛ فلو مكّنت قبلاً ومنعت غيره سقطت نفقتها. وكذا لو مكّنته ليلاً أو نهاراً أو في مكان دون آخر ممّا يجوز فيه الاستمتاع.»</w:t>
      </w:r>
      <w:r>
        <w:rPr>
          <w:rStyle w:val="FootnoteReference"/>
          <w:rFonts w:cs="Abz-2 (Badr)"/>
          <w:color w:val="000000" w:themeColor="text1"/>
          <w:spacing w:val="-6"/>
          <w:sz w:val="28"/>
          <w:szCs w:val="28"/>
          <w:rtl/>
          <w:lang w:bidi="ar"/>
        </w:rPr>
        <w:footnoteReference w:id="1"/>
      </w:r>
    </w:p>
    <w:p w14:paraId="6C57AB18" w14:textId="77777777" w:rsidR="0063552D" w:rsidRDefault="0063552D" w:rsidP="0063552D">
      <w:pPr>
        <w:widowControl w:val="0"/>
        <w:bidi/>
        <w:spacing w:after="0"/>
        <w:ind w:firstLine="284"/>
        <w:jc w:val="both"/>
        <w:rPr>
          <w:rFonts w:cs="Abz-2 (Badr)" w:hint="cs"/>
          <w:color w:val="0070C0"/>
          <w:sz w:val="28"/>
          <w:szCs w:val="28"/>
          <w:rtl/>
          <w:lang w:bidi="fa-IR"/>
        </w:rPr>
      </w:pPr>
      <w:r>
        <w:rPr>
          <w:rFonts w:cs="Abz-2 (Badr)" w:hint="cs"/>
          <w:color w:val="000000" w:themeColor="text1"/>
          <w:sz w:val="28"/>
          <w:szCs w:val="28"/>
          <w:rtl/>
          <w:lang w:bidi="ar"/>
        </w:rPr>
        <w:t xml:space="preserve">شهيد ثانی نيز فرموده است: </w:t>
      </w:r>
      <w:r>
        <w:rPr>
          <w:rFonts w:cs="Abz-2 (Badr)" w:hint="cs"/>
          <w:color w:val="0070C0"/>
          <w:sz w:val="28"/>
          <w:szCs w:val="28"/>
          <w:rtl/>
          <w:lang w:bidi="ar"/>
        </w:rPr>
        <w:t xml:space="preserve">«المراد تخلية الزوجة بين نفسها وبين الزوج بحيث لا تخصّ‌ بالتخلية موضعاً ـ كبيتها وبلدها </w:t>
      </w:r>
      <w:r>
        <w:rPr>
          <w:rFonts w:cs="Abz-2 (Badr)" w:hint="cs"/>
          <w:color w:val="0070C0"/>
          <w:sz w:val="28"/>
          <w:szCs w:val="28"/>
          <w:rtl/>
          <w:lang w:bidi="ar"/>
        </w:rPr>
        <w:lastRenderedPageBreak/>
        <w:t>ـ دون آخر، بل في كلّ‌ مكان أراده الزوج ممّا يصلح للاستمتاع بحسب حالها، وكذلك الزمان. ويمكن أن يريد بالمكان ما يعمّ‌ البدن كالقبل وغيره ممّا يسوغ فيه الاستمتاع. وكلاهما معتبر في التمكين وإن كان الأوّل أظهر في المراد.»</w:t>
      </w:r>
      <w:r>
        <w:rPr>
          <w:rStyle w:val="FootnoteReference"/>
          <w:rFonts w:cs="Abz-2 (Badr)"/>
          <w:color w:val="000000" w:themeColor="text1"/>
          <w:spacing w:val="-6"/>
          <w:sz w:val="28"/>
          <w:szCs w:val="28"/>
          <w:rtl/>
          <w:lang w:bidi="ar"/>
        </w:rPr>
        <w:footnoteReference w:id="2"/>
      </w:r>
    </w:p>
    <w:p w14:paraId="7A4BA8EF" w14:textId="77777777" w:rsidR="0063552D" w:rsidRDefault="0063552D" w:rsidP="0063552D">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اما نشوز امری عرفی است و برای تحقق آن، مسمای امتناع از تسليم نفس ولو برای مدتی کوتاه کفايت نمی</w:t>
      </w:r>
      <w:r>
        <w:rPr>
          <w:rFonts w:cs="Abz-2 (Badr)" w:hint="cs"/>
          <w:color w:val="000000" w:themeColor="text1"/>
          <w:sz w:val="28"/>
          <w:szCs w:val="28"/>
          <w:rtl/>
          <w:lang w:bidi="fa-IR"/>
        </w:rPr>
        <w:softHyphen/>
        <w:t>کند؛ مثلاً چنانچه زوجه از روی ناراحتی و عصبانيت از تسليم خود به زوج امتناع ورزيد ولی پس از گذشت زمانی کوتاه، خود را به وی تسليم نمود، نمی</w:t>
      </w:r>
      <w:r>
        <w:rPr>
          <w:rFonts w:cs="Abz-2 (Badr)" w:hint="cs"/>
          <w:color w:val="000000" w:themeColor="text1"/>
          <w:sz w:val="28"/>
          <w:szCs w:val="28"/>
          <w:rtl/>
          <w:lang w:bidi="fa-IR"/>
        </w:rPr>
        <w:softHyphen/>
        <w:t>توان ادعای تحقق نشوز را نمود، بلکه تحقق آن عرفاً منوط بر استمرار اين عمل برای مدتی دارد که عرف آن را مستلزم تحقق نشوز بداند، هرچند مجرد امتناع از تسليم نفس به زوج برای زوجه دارای حرمت است.</w:t>
      </w:r>
    </w:p>
    <w:p w14:paraId="439CC459" w14:textId="77777777" w:rsidR="0063552D" w:rsidRDefault="0063552D" w:rsidP="0063552D">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همچنان که اگر زوجه در خصوص جميع موارد استمتاع زوج تمکين داشته باشد و فقط به جهاتی از يکی از امور فرعی و جزئی که توسط زوج در حين استمتاع طلب شده است، امتناع بورزد، عرف زن را در اين حالت ناشز نمی</w:t>
      </w:r>
      <w:r>
        <w:rPr>
          <w:rFonts w:cs="Abz-2 (Badr)" w:hint="cs"/>
          <w:color w:val="000000" w:themeColor="text1"/>
          <w:sz w:val="28"/>
          <w:szCs w:val="28"/>
          <w:rtl/>
          <w:lang w:bidi="fa-IR"/>
        </w:rPr>
        <w:softHyphen/>
        <w:t>داند و حکم به سقوط نفقه وی به اين خاطر، قابل التزام نيست.</w:t>
      </w:r>
    </w:p>
    <w:p w14:paraId="702556FB" w14:textId="77777777" w:rsidR="0063552D" w:rsidRDefault="0063552D" w:rsidP="0063552D">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مگر اين که گفته شود: رابطه تمکين و نشوز، رابطه ضدين لا ثالث است و در زمانی که زوجه از تسليم خود به زوج امتناع می</w:t>
      </w:r>
      <w:r>
        <w:rPr>
          <w:rFonts w:cs="Abz-2 (Badr)" w:hint="cs"/>
          <w:color w:val="000000" w:themeColor="text1"/>
          <w:sz w:val="28"/>
          <w:szCs w:val="28"/>
          <w:rtl/>
          <w:lang w:bidi="fa-IR"/>
        </w:rPr>
        <w:softHyphen/>
        <w:t>ورزد، قطعاً صدق نمی</w:t>
      </w:r>
      <w:r>
        <w:rPr>
          <w:rFonts w:cs="Abz-2 (Badr)" w:hint="cs"/>
          <w:color w:val="000000" w:themeColor="text1"/>
          <w:sz w:val="28"/>
          <w:szCs w:val="28"/>
          <w:rtl/>
          <w:lang w:bidi="fa-IR"/>
        </w:rPr>
        <w:softHyphen/>
        <w:t>کند که تمکين کرده است، پس به ناچار بايد ناشز باشد.</w:t>
      </w:r>
    </w:p>
    <w:p w14:paraId="6386D46A" w14:textId="77777777" w:rsidR="0063552D" w:rsidRDefault="0063552D" w:rsidP="0063552D">
      <w:pPr>
        <w:widowControl w:val="0"/>
        <w:bidi/>
        <w:spacing w:after="0" w:line="252" w:lineRule="auto"/>
        <w:ind w:firstLine="284"/>
        <w:jc w:val="both"/>
        <w:rPr>
          <w:rFonts w:cs="Abz-2 (Badr)" w:hint="cs"/>
          <w:color w:val="000000" w:themeColor="text1"/>
          <w:sz w:val="28"/>
          <w:szCs w:val="28"/>
          <w:rtl/>
          <w:lang w:bidi="fa-IR"/>
        </w:rPr>
      </w:pPr>
      <w:bookmarkStart w:id="3" w:name="_Hlk210056788"/>
      <w:r>
        <w:rPr>
          <w:rFonts w:cs="Abz-2 (Badr)" w:hint="cs"/>
          <w:color w:val="000000" w:themeColor="text1"/>
          <w:sz w:val="28"/>
          <w:szCs w:val="28"/>
          <w:rtl/>
          <w:lang w:bidi="fa-IR"/>
        </w:rPr>
        <w:t>اما بر فرض تسليم به اين مطلب نيز دليلی که تحقّق مسمای نشوز را سبب سقوط نفقه زوجه بداند، در اختيار نيست، بلکه آنچه که در معتبره سکونی آمده است، سقوط نفقه زوجه به واسطه خروج وی از خانه زوج بدون اذن است، و معلوم است که خروج از خانه سبب می</w:t>
      </w:r>
      <w:r>
        <w:rPr>
          <w:rFonts w:cs="Abz-2 (Badr)" w:hint="cs"/>
          <w:color w:val="000000" w:themeColor="text1"/>
          <w:sz w:val="28"/>
          <w:szCs w:val="28"/>
          <w:rtl/>
          <w:lang w:bidi="fa-IR"/>
        </w:rPr>
        <w:softHyphen/>
        <w:t>شود که زوج امکان هيچ گونه استمتاعی را نداشته باشد.</w:t>
      </w:r>
    </w:p>
    <w:p w14:paraId="468FE2D0" w14:textId="77777777" w:rsidR="0063552D" w:rsidRDefault="0063552D" w:rsidP="0063552D">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بنابر اين يا بايد گفت که در مواردی که سابقاً گذشت، نفقه زوجه ساقط نيست، و يا اين که چه بسا گفته شود: اگر نشوز زوجه به نحوی است که زوج به هيچ وجهی امکان استمتاع را ندارد، نفقه وی به طور کامل ساقط است، اما اگر به اين نحو نيست و زوجه از برخی از استمتاعات زوج منع کرده است، نفقه وی نيز به نسبت به همان مقدار ساقط می</w:t>
      </w:r>
      <w:r>
        <w:rPr>
          <w:rFonts w:cs="Abz-2 (Badr)" w:hint="cs"/>
          <w:color w:val="000000" w:themeColor="text1"/>
          <w:sz w:val="28"/>
          <w:szCs w:val="28"/>
          <w:rtl/>
          <w:lang w:bidi="fa-IR"/>
        </w:rPr>
        <w:softHyphen/>
        <w:t>گردد.</w:t>
      </w:r>
    </w:p>
    <w:p w14:paraId="18FD2C84" w14:textId="77777777" w:rsidR="0063552D" w:rsidRDefault="0063552D" w:rsidP="0063552D">
      <w:pPr>
        <w:widowControl w:val="0"/>
        <w:bidi/>
        <w:spacing w:after="0" w:line="252" w:lineRule="auto"/>
        <w:ind w:firstLine="284"/>
        <w:jc w:val="both"/>
        <w:rPr>
          <w:rFonts w:cs="Abz-2 (Badr)" w:hint="cs"/>
          <w:color w:val="0070C0"/>
          <w:sz w:val="28"/>
          <w:szCs w:val="28"/>
          <w:rtl/>
          <w:lang w:bidi="fa-IR"/>
        </w:rPr>
      </w:pPr>
      <w:r>
        <w:rPr>
          <w:rFonts w:cs="Abz-2 (Badr)" w:hint="cs"/>
          <w:color w:val="000000" w:themeColor="text1"/>
          <w:sz w:val="28"/>
          <w:szCs w:val="28"/>
          <w:rtl/>
          <w:lang w:bidi="fa-IR"/>
        </w:rPr>
        <w:lastRenderedPageBreak/>
        <w:t xml:space="preserve">فلذا صاحب جواهر در اين خصوص فرموده است: </w:t>
      </w:r>
      <w:r>
        <w:rPr>
          <w:rFonts w:cs="Abz-2 (Badr)" w:hint="cs"/>
          <w:color w:val="0070C0"/>
          <w:sz w:val="28"/>
          <w:szCs w:val="28"/>
          <w:rtl/>
          <w:lang w:bidi="fa-IR"/>
        </w:rPr>
        <w:t>«قد تقدّم قوّة سقوط نفقتها أجمع بذلك، واحتمال التبعيض وعدم السقوط.»</w:t>
      </w:r>
      <w:r>
        <w:rPr>
          <w:rStyle w:val="FootnoteReference"/>
          <w:rFonts w:cs="Abz-2 (Badr)"/>
          <w:color w:val="000000" w:themeColor="text1"/>
          <w:spacing w:val="-6"/>
          <w:sz w:val="28"/>
          <w:szCs w:val="28"/>
          <w:rtl/>
          <w:lang w:bidi="ar"/>
        </w:rPr>
        <w:footnoteReference w:id="3"/>
      </w:r>
    </w:p>
    <w:p w14:paraId="43A18D75" w14:textId="77777777" w:rsidR="0063552D" w:rsidRDefault="0063552D" w:rsidP="0063552D">
      <w:pPr>
        <w:widowControl w:val="0"/>
        <w:bidi/>
        <w:spacing w:after="0" w:line="252" w:lineRule="auto"/>
        <w:ind w:firstLine="284"/>
        <w:jc w:val="both"/>
        <w:rPr>
          <w:rFonts w:cs="Times New Roman" w:hint="cs"/>
          <w:color w:val="000000" w:themeColor="text1"/>
          <w:sz w:val="28"/>
          <w:szCs w:val="28"/>
          <w:rtl/>
          <w:lang w:bidi="fa-IR"/>
        </w:rPr>
      </w:pPr>
      <w:r>
        <w:rPr>
          <w:rFonts w:cs="Abz-2 (Badr)" w:hint="cs"/>
          <w:color w:val="000000" w:themeColor="text1"/>
          <w:sz w:val="28"/>
          <w:szCs w:val="28"/>
          <w:rtl/>
          <w:lang w:bidi="fa-IR"/>
        </w:rPr>
        <w:t>و در هر حال مسأله محل تأمل است.</w:t>
      </w:r>
    </w:p>
    <w:p w14:paraId="27BCA29D" w14:textId="77777777" w:rsidR="0063552D" w:rsidRDefault="0063552D" w:rsidP="0063552D">
      <w:pPr>
        <w:widowControl w:val="0"/>
        <w:bidi/>
        <w:spacing w:after="0" w:line="252" w:lineRule="auto"/>
        <w:ind w:firstLine="284"/>
        <w:jc w:val="both"/>
        <w:rPr>
          <w:rFonts w:cs="Abz-2 (Badr)"/>
          <w:color w:val="000000" w:themeColor="text1"/>
          <w:sz w:val="28"/>
          <w:szCs w:val="28"/>
          <w:rtl/>
          <w:lang w:bidi="fa-IR"/>
        </w:rPr>
      </w:pPr>
      <w:r>
        <w:rPr>
          <w:rFonts w:cs="Abz-2 (Badr)" w:hint="cs"/>
          <w:color w:val="000000" w:themeColor="text1"/>
          <w:sz w:val="28"/>
          <w:szCs w:val="28"/>
          <w:rtl/>
          <w:lang w:bidi="fa-IR"/>
        </w:rPr>
        <w:t>مسأله بعد اين است که آيا برای صدق تمکين لازم است که زوجه آمادگی خود برای آن را بر زبان جاری سازد؟</w:t>
      </w:r>
    </w:p>
    <w:p w14:paraId="0AB72419" w14:textId="77777777" w:rsidR="0063552D" w:rsidRDefault="0063552D" w:rsidP="0063552D">
      <w:pPr>
        <w:widowControl w:val="0"/>
        <w:bidi/>
        <w:spacing w:after="0" w:line="252" w:lineRule="auto"/>
        <w:ind w:firstLine="284"/>
        <w:jc w:val="both"/>
        <w:rPr>
          <w:rFonts w:cs="Abz-2 (Badr)" w:hint="cs"/>
          <w:color w:val="0070C0"/>
          <w:sz w:val="28"/>
          <w:szCs w:val="28"/>
          <w:rtl/>
          <w:lang w:bidi="ar"/>
        </w:rPr>
      </w:pPr>
      <w:r>
        <w:rPr>
          <w:rFonts w:cs="Abz-2 (Badr)" w:hint="cs"/>
          <w:color w:val="000000" w:themeColor="text1"/>
          <w:sz w:val="28"/>
          <w:szCs w:val="28"/>
          <w:rtl/>
          <w:lang w:bidi="fa-IR"/>
        </w:rPr>
        <w:t>علامه در تحرير می</w:t>
      </w:r>
      <w:r>
        <w:rPr>
          <w:rFonts w:cs="Abz-2 (Badr)" w:hint="cs"/>
          <w:color w:val="000000" w:themeColor="text1"/>
          <w:sz w:val="28"/>
          <w:szCs w:val="28"/>
          <w:rtl/>
          <w:lang w:bidi="fa-IR"/>
        </w:rPr>
        <w:softHyphen/>
        <w:t xml:space="preserve">فرمايد: </w:t>
      </w:r>
      <w:r>
        <w:rPr>
          <w:rFonts w:cs="Abz-2 (Badr)" w:hint="cs"/>
          <w:color w:val="0070C0"/>
          <w:sz w:val="28"/>
          <w:szCs w:val="28"/>
          <w:rtl/>
          <w:lang w:bidi="fa-IR"/>
        </w:rPr>
        <w:t>«</w:t>
      </w:r>
      <w:r>
        <w:rPr>
          <w:rFonts w:cs="Abz-2 (Badr)" w:hint="cs"/>
          <w:color w:val="0070C0"/>
          <w:sz w:val="28"/>
          <w:szCs w:val="28"/>
          <w:rtl/>
          <w:lang w:bidi="ar"/>
        </w:rPr>
        <w:t>إن كانا بالغين ومكّنت بأن تقول: «قد سلّمت نفسي إليك في أيّ‌ مكان شئت»، وجبت لها النفقة.»</w:t>
      </w:r>
      <w:r>
        <w:rPr>
          <w:rStyle w:val="FootnoteReference"/>
          <w:rFonts w:cs="Abz-2 (Badr)"/>
          <w:color w:val="000000" w:themeColor="text1"/>
          <w:spacing w:val="-6"/>
          <w:sz w:val="28"/>
          <w:szCs w:val="28"/>
          <w:rtl/>
          <w:lang w:bidi="ar"/>
        </w:rPr>
        <w:footnoteReference w:id="4"/>
      </w:r>
    </w:p>
    <w:p w14:paraId="2EF09C5D" w14:textId="77777777" w:rsidR="0063552D" w:rsidRDefault="0063552D" w:rsidP="0063552D">
      <w:pPr>
        <w:widowControl w:val="0"/>
        <w:bidi/>
        <w:spacing w:after="0" w:line="252" w:lineRule="auto"/>
        <w:ind w:firstLine="284"/>
        <w:jc w:val="both"/>
        <w:rPr>
          <w:rFonts w:cs="Abz-2 (Badr)" w:hint="cs"/>
          <w:color w:val="0070C0"/>
          <w:sz w:val="28"/>
          <w:szCs w:val="28"/>
          <w:rtl/>
          <w:lang w:bidi="ar"/>
        </w:rPr>
      </w:pPr>
      <w:r>
        <w:rPr>
          <w:rFonts w:cs="Abz-2 (Badr)" w:hint="cs"/>
          <w:color w:val="000000" w:themeColor="text1"/>
          <w:sz w:val="28"/>
          <w:szCs w:val="28"/>
          <w:rtl/>
          <w:lang w:bidi="ar"/>
        </w:rPr>
        <w:t xml:space="preserve">و کاشف اللثام در توجيه آن فرموده است: </w:t>
      </w:r>
      <w:r>
        <w:rPr>
          <w:rFonts w:cs="Abz-2 (Badr)" w:hint="cs"/>
          <w:color w:val="0070C0"/>
          <w:sz w:val="28"/>
          <w:szCs w:val="28"/>
          <w:rtl/>
          <w:lang w:bidi="ar"/>
        </w:rPr>
        <w:t>«إذ لا يتحقّق بدونه، إلاّ أن يكتفی بالتمكين مرّة مع الوثوق بالاستمرار عليه، أو بالوثوق وإن لم يحصل التمكين وإن بعد الفرض.»</w:t>
      </w:r>
      <w:r>
        <w:rPr>
          <w:rStyle w:val="FootnoteReference"/>
          <w:rFonts w:cs="Abz-2 (Badr)"/>
          <w:color w:val="000000" w:themeColor="text1"/>
          <w:spacing w:val="-6"/>
          <w:sz w:val="28"/>
          <w:szCs w:val="28"/>
          <w:rtl/>
          <w:lang w:bidi="ar"/>
        </w:rPr>
        <w:footnoteReference w:id="5"/>
      </w:r>
    </w:p>
    <w:p w14:paraId="5FAB67FC" w14:textId="77777777" w:rsidR="0063552D" w:rsidRDefault="0063552D" w:rsidP="0063552D">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ar"/>
        </w:rPr>
        <w:t>ولی شهيد ثان</w:t>
      </w:r>
      <w:bookmarkEnd w:id="3"/>
      <w:r>
        <w:rPr>
          <w:rFonts w:cs="Abz-2 (Badr)" w:hint="cs"/>
          <w:color w:val="000000" w:themeColor="text1"/>
          <w:sz w:val="28"/>
          <w:szCs w:val="28"/>
          <w:rtl/>
          <w:lang w:bidi="fa-IR"/>
        </w:rPr>
        <w:t>ی و صاحب جواهر بر اين مطلب اشکال گرفته</w:t>
      </w:r>
      <w:r>
        <w:rPr>
          <w:rFonts w:cs="Abz-2 (Badr)" w:hint="cs"/>
          <w:color w:val="000000" w:themeColor="text1"/>
          <w:sz w:val="28"/>
          <w:szCs w:val="28"/>
          <w:rtl/>
          <w:lang w:bidi="fa-IR"/>
        </w:rPr>
        <w:softHyphen/>
        <w:t>اند و مدعای ايشان را جلسه آينده مطرح خواهيم کرد ان شاء الله.</w:t>
      </w:r>
    </w:p>
    <w:p w14:paraId="4DC12455" w14:textId="77777777" w:rsidR="0063552D" w:rsidRDefault="0063552D" w:rsidP="0063552D">
      <w:pPr>
        <w:rPr>
          <w:rFonts w:cs="Abz-2 (Badr)" w:hint="cs"/>
          <w:color w:val="000000" w:themeColor="text1"/>
          <w:sz w:val="28"/>
          <w:szCs w:val="28"/>
          <w:rtl/>
          <w:lang w:bidi="fa-IR"/>
        </w:rPr>
      </w:pPr>
      <w:r>
        <w:rPr>
          <w:rFonts w:cs="Abz-2 (Badr)" w:hint="cs"/>
          <w:color w:val="000000" w:themeColor="text1"/>
          <w:sz w:val="28"/>
          <w:szCs w:val="28"/>
          <w:rtl/>
          <w:lang w:bidi="fa-IR"/>
        </w:rPr>
        <w:br w:type="page"/>
      </w:r>
    </w:p>
    <w:p w14:paraId="059BBF67" w14:textId="77777777" w:rsidR="0063552D" w:rsidRDefault="0063552D" w:rsidP="0063552D">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rPr>
        <w:lastRenderedPageBreak/>
        <w:t>قلنا في الجلسة السابقة إنّ النشوز مانع من استحقاق الزوجة للنفقة وذكرنا الدليل على ذلك</w:t>
      </w:r>
      <w:r>
        <w:rPr>
          <w:rFonts w:cs="Abz-2 (Badr)" w:hint="cs"/>
          <w:color w:val="000000" w:themeColor="text1"/>
          <w:sz w:val="28"/>
          <w:szCs w:val="28"/>
          <w:rtl/>
          <w:lang w:bidi="fa-IR"/>
        </w:rPr>
        <w:t>.</w:t>
      </w:r>
    </w:p>
    <w:p w14:paraId="430A82D2" w14:textId="77777777" w:rsidR="0063552D" w:rsidRDefault="0063552D" w:rsidP="0063552D">
      <w:pPr>
        <w:widowControl w:val="0"/>
        <w:bidi/>
        <w:spacing w:after="0" w:line="252" w:lineRule="auto"/>
        <w:ind w:firstLine="284"/>
        <w:jc w:val="both"/>
        <w:rPr>
          <w:rFonts w:cs="Abz-2 (Badr)" w:hint="cs"/>
          <w:color w:val="000000" w:themeColor="text1"/>
          <w:sz w:val="28"/>
          <w:szCs w:val="28"/>
          <w:rtl/>
        </w:rPr>
      </w:pPr>
      <w:r>
        <w:rPr>
          <w:rFonts w:cs="Abz-2 (Badr)" w:hint="cs"/>
          <w:color w:val="000000" w:themeColor="text1"/>
          <w:sz w:val="28"/>
          <w:szCs w:val="28"/>
          <w:rtl/>
        </w:rPr>
        <w:t>غير أنّه قد يستدلّ لإثبات هذا الحكم بكون حقوق الزوجين متقابلة؛ بمعنى أنّ حقّ كلّ واحد منهما على الآخر في مقابل الحقّ الذي لذلك الآخر عليه. وبناءً على ذلك فإذا امتنع أحدهما من أداء حقّ صاحبه، جاز للآخر أيضاً الامتناع عن أداء حقّه.</w:t>
      </w:r>
    </w:p>
    <w:p w14:paraId="0549992B" w14:textId="77777777" w:rsidR="0063552D" w:rsidRDefault="0063552D" w:rsidP="0063552D">
      <w:pPr>
        <w:widowControl w:val="0"/>
        <w:bidi/>
        <w:spacing w:after="0" w:line="252" w:lineRule="auto"/>
        <w:ind w:firstLine="284"/>
        <w:jc w:val="both"/>
        <w:rPr>
          <w:rFonts w:cs="Abz-2 (Badr)" w:hint="cs"/>
          <w:color w:val="000000" w:themeColor="text1"/>
          <w:sz w:val="28"/>
          <w:szCs w:val="28"/>
          <w:rtl/>
        </w:rPr>
      </w:pPr>
      <w:r>
        <w:rPr>
          <w:rFonts w:cs="Abz-2 (Badr)" w:hint="cs"/>
          <w:color w:val="000000" w:themeColor="text1"/>
          <w:sz w:val="28"/>
          <w:szCs w:val="28"/>
          <w:rtl/>
        </w:rPr>
        <w:t>إلّا أنّه قد مرّ سابقاً وفي مبحث جواز امتناع الزوجة عن التمكين الخاصّ مادامت لم تستوفِ مهرها كاملاً أنّ الاستناد إلى هذا الوجه لإثبات جواز الامتناع عن أداء الحقّ غير سليم؛ لأنّ للزوجين حقوقاً متعدّدة على بعضهما، ولا يوجد معيار واضح يحدّد أيّ حقّ منها يقابل أيّ حقّ للطرف الآخر بحيث يمكن الحكم بمقتضاه أنّه إذا امتنع أحدهما من أداء حقّ، جاز للآخر الامتناع عن أداء الحقّ المقابل له.</w:t>
      </w:r>
    </w:p>
    <w:p w14:paraId="7385C928" w14:textId="77777777" w:rsidR="0063552D" w:rsidRDefault="0063552D" w:rsidP="0063552D">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ثمّ إنّه هل يتحقّق النشوز بمجرّد امتناع الزوجة عن أيّ نوع من التمكين؟</w:t>
      </w:r>
    </w:p>
    <w:p w14:paraId="6E82E8C2" w14:textId="77777777" w:rsidR="0063552D" w:rsidRDefault="0063552D" w:rsidP="0063552D">
      <w:pPr>
        <w:widowControl w:val="0"/>
        <w:bidi/>
        <w:spacing w:after="0"/>
        <w:ind w:firstLine="284"/>
        <w:jc w:val="both"/>
        <w:rPr>
          <w:rFonts w:cs="Abz-2 (Badr)" w:hint="cs"/>
          <w:color w:val="0070C0"/>
          <w:sz w:val="28"/>
          <w:szCs w:val="28"/>
          <w:rtl/>
          <w:lang w:bidi="ar"/>
        </w:rPr>
      </w:pPr>
      <w:r>
        <w:rPr>
          <w:rFonts w:cs="Abz-2 (Badr)" w:hint="cs"/>
          <w:color w:val="000000" w:themeColor="text1"/>
          <w:sz w:val="28"/>
          <w:szCs w:val="28"/>
          <w:rtl/>
        </w:rPr>
        <w:t>قال العلّامة في القواعد</w:t>
      </w:r>
      <w:r>
        <w:rPr>
          <w:rFonts w:cs="Abz-2 (Badr)" w:hint="cs"/>
          <w:color w:val="000000" w:themeColor="text1"/>
          <w:sz w:val="28"/>
          <w:szCs w:val="28"/>
          <w:rtl/>
          <w:lang w:bidi="ar"/>
        </w:rPr>
        <w:t xml:space="preserve">: </w:t>
      </w:r>
      <w:r>
        <w:rPr>
          <w:rFonts w:cs="Abz-2 (Badr)" w:hint="cs"/>
          <w:color w:val="0070C0"/>
          <w:sz w:val="28"/>
          <w:szCs w:val="28"/>
          <w:rtl/>
          <w:lang w:bidi="ar"/>
        </w:rPr>
        <w:t>«إنّما تجب النفقة بالعقد الدائم مع التمكين التامّ‌، ولا تجب بالمتعة، ولا لغير الممكّنة من نفسها كلّ‌ وقت في أيّ‌ موضع أراد؛ فلو مكّنت قبلاً ومنعت غيره سقطت نفقتها. وكذا لو مكّنته ليلاً أو نهاراً أو في مكان دون آخر ممّا يجوز فيه الاستمتاع.»</w:t>
      </w:r>
      <w:r>
        <w:rPr>
          <w:rStyle w:val="FootnoteReference"/>
          <w:rFonts w:cs="Abz-2 (Badr)"/>
          <w:color w:val="000000" w:themeColor="text1"/>
          <w:spacing w:val="-6"/>
          <w:sz w:val="28"/>
          <w:szCs w:val="28"/>
          <w:rtl/>
          <w:lang w:bidi="ar"/>
        </w:rPr>
        <w:footnoteReference w:id="6"/>
      </w:r>
    </w:p>
    <w:p w14:paraId="2F28439A" w14:textId="77777777" w:rsidR="0063552D" w:rsidRDefault="0063552D" w:rsidP="0063552D">
      <w:pPr>
        <w:widowControl w:val="0"/>
        <w:bidi/>
        <w:spacing w:after="0"/>
        <w:ind w:firstLine="284"/>
        <w:jc w:val="both"/>
        <w:rPr>
          <w:rFonts w:cs="Abz-2 (Badr)" w:hint="cs"/>
          <w:color w:val="0070C0"/>
          <w:sz w:val="28"/>
          <w:szCs w:val="28"/>
          <w:rtl/>
          <w:lang w:bidi="fa-IR"/>
        </w:rPr>
      </w:pPr>
      <w:r>
        <w:rPr>
          <w:rFonts w:cs="Abz-2 (Badr)" w:hint="cs"/>
          <w:color w:val="000000" w:themeColor="text1"/>
          <w:sz w:val="28"/>
          <w:szCs w:val="28"/>
          <w:rtl/>
          <w:lang w:bidi="ar"/>
        </w:rPr>
        <w:t xml:space="preserve">وقال الشهيد الثاني: </w:t>
      </w:r>
      <w:r>
        <w:rPr>
          <w:rFonts w:cs="Abz-2 (Badr)" w:hint="cs"/>
          <w:color w:val="0070C0"/>
          <w:sz w:val="28"/>
          <w:szCs w:val="28"/>
          <w:rtl/>
          <w:lang w:bidi="ar"/>
        </w:rPr>
        <w:t>«المراد تخلية الزوجة بين نفسها وبين الزوج بحيث لا تخصّ‌ بالتخلية موضعاً ـ كبيتها وبلدها ـ دون آخر، بل في كلّ‌ مكان أراده الزوج ممّا يصلح للاستمتاع بحسب حالها، وكذلك الزمان. ويمكن أن يريد بالمكان ما يعمّ‌ البدن كالقبل وغيره ممّا يسوغ فيه الاستمتاع. وكلاهما معتبر في التمكين وإن كان الأوّل أظهر في المراد.»</w:t>
      </w:r>
      <w:r>
        <w:rPr>
          <w:rStyle w:val="FootnoteReference"/>
          <w:rFonts w:cs="Abz-2 (Badr)"/>
          <w:color w:val="000000" w:themeColor="text1"/>
          <w:spacing w:val="-6"/>
          <w:sz w:val="28"/>
          <w:szCs w:val="28"/>
          <w:rtl/>
          <w:lang w:bidi="ar"/>
        </w:rPr>
        <w:footnoteReference w:id="7"/>
      </w:r>
    </w:p>
    <w:p w14:paraId="36B63ECA" w14:textId="77777777" w:rsidR="0063552D" w:rsidRDefault="0063552D" w:rsidP="0063552D">
      <w:pPr>
        <w:widowControl w:val="0"/>
        <w:bidi/>
        <w:spacing w:after="0" w:line="252" w:lineRule="auto"/>
        <w:ind w:firstLine="284"/>
        <w:jc w:val="both"/>
        <w:rPr>
          <w:rFonts w:cs="Abz-2 (Badr)" w:hint="cs"/>
          <w:color w:val="000000" w:themeColor="text1"/>
          <w:sz w:val="28"/>
          <w:szCs w:val="28"/>
          <w:rtl/>
        </w:rPr>
      </w:pPr>
      <w:r>
        <w:rPr>
          <w:rFonts w:cs="Abz-2 (Badr)" w:hint="cs"/>
          <w:color w:val="000000" w:themeColor="text1"/>
          <w:sz w:val="28"/>
          <w:szCs w:val="28"/>
          <w:rtl/>
        </w:rPr>
        <w:t xml:space="preserve">أقول: إنّ النشوز أمر عرفيّ، ولا يكفي لتحقّقه مجرّد الامتناع عن تسليم النفس ولو مدّة يسيرة؛ فمثلاً لو امتنعت الزوجة ـ من شدّة الغضب والانزعاج ـ عن تسليم نفسها للزوج ثمّ بعد مدّة قصيرة سلّمت نفسها له، لا يمكن ادّعاء تحقّق النشوز، بل تحقّقه عرفاً موقوف على استمرار هذا الفعل مدّة يراها العرف موجبة لصدق النشوز، وإن كان مجرّد الامتناع عن تسليم </w:t>
      </w:r>
      <w:r>
        <w:rPr>
          <w:rFonts w:cs="Abz-2 (Badr)" w:hint="cs"/>
          <w:color w:val="000000" w:themeColor="text1"/>
          <w:sz w:val="28"/>
          <w:szCs w:val="28"/>
          <w:rtl/>
        </w:rPr>
        <w:lastRenderedPageBreak/>
        <w:t>النفس للزوج محرّماً على الزوجة.</w:t>
      </w:r>
    </w:p>
    <w:p w14:paraId="0893AF0B" w14:textId="77777777" w:rsidR="0063552D" w:rsidRDefault="0063552D" w:rsidP="0063552D">
      <w:pPr>
        <w:widowControl w:val="0"/>
        <w:bidi/>
        <w:spacing w:after="0" w:line="252" w:lineRule="auto"/>
        <w:ind w:firstLine="284"/>
        <w:jc w:val="both"/>
        <w:rPr>
          <w:rFonts w:cs="Abz-2 (Badr)" w:hint="cs"/>
          <w:color w:val="000000" w:themeColor="text1"/>
          <w:sz w:val="28"/>
          <w:szCs w:val="28"/>
          <w:rtl/>
        </w:rPr>
      </w:pPr>
      <w:r>
        <w:rPr>
          <w:rFonts w:cs="Abz-2 (Badr)" w:hint="cs"/>
          <w:color w:val="000000" w:themeColor="text1"/>
          <w:sz w:val="28"/>
          <w:szCs w:val="28"/>
          <w:rtl/>
        </w:rPr>
        <w:t>وكذلك لو أنّ الزوجة مكّنت الزوج في جميع أنحاء الاستمتاع غير أنّها امتنعت عن بعض الأُمور الفرعيّة والجزئيّة التي طلبها الزوج حال الاستمتاع، فإنّ العرف لا يعدّها ناشزة في هذه الصورة، والحكم بسقوط نفقتها لأجل ذلك غير قابل للالتزام.</w:t>
      </w:r>
    </w:p>
    <w:p w14:paraId="24AEDC70" w14:textId="77777777" w:rsidR="0063552D" w:rsidRDefault="0063552D" w:rsidP="0063552D">
      <w:pPr>
        <w:widowControl w:val="0"/>
        <w:bidi/>
        <w:spacing w:after="0" w:line="252" w:lineRule="auto"/>
        <w:ind w:firstLine="284"/>
        <w:jc w:val="both"/>
        <w:rPr>
          <w:rFonts w:cs="Abz-2 (Badr)" w:hint="cs"/>
          <w:color w:val="000000" w:themeColor="text1"/>
          <w:sz w:val="28"/>
          <w:szCs w:val="28"/>
          <w:rtl/>
        </w:rPr>
      </w:pPr>
      <w:r>
        <w:rPr>
          <w:rFonts w:cs="Abz-2 (Badr)" w:hint="cs"/>
          <w:color w:val="000000" w:themeColor="text1"/>
          <w:sz w:val="28"/>
          <w:szCs w:val="28"/>
          <w:rtl/>
        </w:rPr>
        <w:t>اللهمّ إلّا أن يقال: إنّ العلاقة بين التمكين والنشوز هي علاقة الضدّين لا ثالث لهما، فإذا امتنعت الزوجة عن تسليم نفسها للزوج لم يصدق أنّها مكّنت، فلا محالة تُعدّ ناشزة.</w:t>
      </w:r>
    </w:p>
    <w:p w14:paraId="634B8B4E" w14:textId="77777777" w:rsidR="0063552D" w:rsidRDefault="0063552D" w:rsidP="0063552D">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rPr>
        <w:t>لكن على فرض التسليم بذلك، لا دليل بأيدينا يثبت أنّ مجرّد تحقّق مسمّى النشوز سبب في سقوط نفقة الزوجة، بل الوارد في معتبرة السكوني أنّ نفقة الزوجة تسقط بخروجها من بيت زوجها بغير إذنه، ومن الواضح أنّ الخروج يمنع الزوج من أيّ نوع من الاستمتاع</w:t>
      </w:r>
      <w:r>
        <w:rPr>
          <w:rFonts w:cs="Abz-2 (Badr)" w:hint="cs"/>
          <w:color w:val="000000" w:themeColor="text1"/>
          <w:sz w:val="28"/>
          <w:szCs w:val="28"/>
          <w:rtl/>
          <w:lang w:bidi="fa-IR"/>
        </w:rPr>
        <w:t>.</w:t>
      </w:r>
    </w:p>
    <w:p w14:paraId="642C0846" w14:textId="77777777" w:rsidR="0063552D" w:rsidRDefault="0063552D" w:rsidP="0063552D">
      <w:pPr>
        <w:widowControl w:val="0"/>
        <w:bidi/>
        <w:spacing w:after="0" w:line="252" w:lineRule="auto"/>
        <w:ind w:firstLine="284"/>
        <w:jc w:val="both"/>
        <w:rPr>
          <w:rFonts w:cs="Abz-2 (Badr)" w:hint="cs"/>
          <w:color w:val="000000" w:themeColor="text1"/>
          <w:sz w:val="28"/>
          <w:szCs w:val="28"/>
          <w:rtl/>
        </w:rPr>
      </w:pPr>
      <w:r>
        <w:rPr>
          <w:rFonts w:cs="Abz-2 (Badr)" w:hint="cs"/>
          <w:color w:val="000000" w:themeColor="text1"/>
          <w:sz w:val="28"/>
          <w:szCs w:val="28"/>
          <w:rtl/>
        </w:rPr>
        <w:t>وعليه فإمّا أن يلتزم بعدم سقوط نفقة الزوجة في الموارد المتقدّمة، وإمّا أن يقال: إذا كان نشوز الزوجة بحيث يسلب الزوج إمکان جميع الاستمتاعات، سقطت نفقتها بالمرّة، وأمّا إذا لم يكن كذلك بل منعت الزوج من بعض الاستمتاعات، فإنّ نفقتها تسقط بنسبة ذلك المقدار فقط.</w:t>
      </w:r>
    </w:p>
    <w:p w14:paraId="08465693" w14:textId="77777777" w:rsidR="0063552D" w:rsidRDefault="0063552D" w:rsidP="0063552D">
      <w:pPr>
        <w:widowControl w:val="0"/>
        <w:bidi/>
        <w:spacing w:after="0" w:line="252" w:lineRule="auto"/>
        <w:ind w:firstLine="284"/>
        <w:jc w:val="both"/>
        <w:rPr>
          <w:rFonts w:cs="Abz-2 (Badr)" w:hint="cs"/>
          <w:color w:val="0070C0"/>
          <w:sz w:val="28"/>
          <w:szCs w:val="28"/>
          <w:rtl/>
          <w:lang w:bidi="fa-IR"/>
        </w:rPr>
      </w:pPr>
      <w:r>
        <w:rPr>
          <w:rFonts w:cs="Abz-2 (Badr)" w:hint="cs"/>
          <w:color w:val="000000" w:themeColor="text1"/>
          <w:sz w:val="28"/>
          <w:szCs w:val="28"/>
          <w:rtl/>
          <w:lang w:bidi="fa-IR"/>
        </w:rPr>
        <w:t xml:space="preserve">فلذا قال صاحب الجواهر في هذا الخصوص: </w:t>
      </w:r>
      <w:r>
        <w:rPr>
          <w:rFonts w:cs="Abz-2 (Badr)" w:hint="cs"/>
          <w:color w:val="0070C0"/>
          <w:sz w:val="28"/>
          <w:szCs w:val="28"/>
          <w:rtl/>
          <w:lang w:bidi="fa-IR"/>
        </w:rPr>
        <w:t>«قد تقدّم قوّة سقوط نفقتها أجمع بذلك، واحتمال التبعيض وعدم السقوط.»</w:t>
      </w:r>
      <w:r>
        <w:rPr>
          <w:rStyle w:val="FootnoteReference"/>
          <w:rFonts w:cs="Abz-2 (Badr)"/>
          <w:color w:val="000000" w:themeColor="text1"/>
          <w:spacing w:val="-6"/>
          <w:sz w:val="28"/>
          <w:szCs w:val="28"/>
          <w:rtl/>
          <w:lang w:bidi="ar"/>
        </w:rPr>
        <w:footnoteReference w:id="8"/>
      </w:r>
    </w:p>
    <w:p w14:paraId="0D740385" w14:textId="77777777" w:rsidR="0063552D" w:rsidRDefault="0063552D" w:rsidP="0063552D">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والمسألة محلّ تأمّل علی کلّ حال.</w:t>
      </w:r>
    </w:p>
    <w:p w14:paraId="36B7CF0C" w14:textId="77777777" w:rsidR="0063552D" w:rsidRDefault="0063552D" w:rsidP="0063552D">
      <w:pPr>
        <w:widowControl w:val="0"/>
        <w:bidi/>
        <w:spacing w:after="0" w:line="252" w:lineRule="auto"/>
        <w:ind w:firstLine="284"/>
        <w:jc w:val="both"/>
        <w:rPr>
          <w:rFonts w:cs="Abz-2 (Badr)" w:hint="cs"/>
          <w:color w:val="000000" w:themeColor="text1"/>
          <w:sz w:val="28"/>
          <w:szCs w:val="28"/>
          <w:rtl/>
        </w:rPr>
      </w:pPr>
      <w:r>
        <w:rPr>
          <w:rFonts w:cs="Abz-2 (Badr)" w:hint="cs"/>
          <w:color w:val="000000" w:themeColor="text1"/>
          <w:sz w:val="28"/>
          <w:szCs w:val="28"/>
          <w:rtl/>
        </w:rPr>
        <w:t>وأمّا المسألة اللاحقة فهي أنّه هل يشترط لصدق التمكين أن تظهر الزوجة استعدادها له بلسانها؟</w:t>
      </w:r>
    </w:p>
    <w:p w14:paraId="448ECF02" w14:textId="77777777" w:rsidR="0063552D" w:rsidRDefault="0063552D" w:rsidP="0063552D">
      <w:pPr>
        <w:widowControl w:val="0"/>
        <w:bidi/>
        <w:spacing w:after="0" w:line="252" w:lineRule="auto"/>
        <w:ind w:firstLine="284"/>
        <w:jc w:val="both"/>
        <w:rPr>
          <w:rFonts w:cs="Abz-2 (Badr)" w:hint="cs"/>
          <w:color w:val="0070C0"/>
          <w:sz w:val="28"/>
          <w:szCs w:val="28"/>
          <w:rtl/>
          <w:lang w:bidi="ar"/>
        </w:rPr>
      </w:pPr>
      <w:r>
        <w:rPr>
          <w:rFonts w:cs="Abz-2 (Badr)" w:hint="cs"/>
          <w:color w:val="000000" w:themeColor="text1"/>
          <w:sz w:val="28"/>
          <w:szCs w:val="28"/>
          <w:rtl/>
        </w:rPr>
        <w:t>قال العلامة في التحرير</w:t>
      </w:r>
      <w:r>
        <w:rPr>
          <w:rFonts w:cs="Abz-2 (Badr)" w:hint="cs"/>
          <w:color w:val="000000" w:themeColor="text1"/>
          <w:sz w:val="28"/>
          <w:szCs w:val="28"/>
          <w:rtl/>
          <w:lang w:bidi="fa-IR"/>
        </w:rPr>
        <w:t xml:space="preserve">: </w:t>
      </w:r>
      <w:r>
        <w:rPr>
          <w:rFonts w:cs="Abz-2 (Badr)" w:hint="cs"/>
          <w:color w:val="0070C0"/>
          <w:sz w:val="28"/>
          <w:szCs w:val="28"/>
          <w:rtl/>
          <w:lang w:bidi="fa-IR"/>
        </w:rPr>
        <w:t>«</w:t>
      </w:r>
      <w:r>
        <w:rPr>
          <w:rFonts w:cs="Abz-2 (Badr)" w:hint="cs"/>
          <w:color w:val="0070C0"/>
          <w:sz w:val="28"/>
          <w:szCs w:val="28"/>
          <w:rtl/>
          <w:lang w:bidi="ar"/>
        </w:rPr>
        <w:t>إن كانا بالغين ومكّنت بأن تقول: «قد سلّمت نفسي إليك في أيّ‌ مكان شئت»، وجبت لها النفقة.»</w:t>
      </w:r>
      <w:r>
        <w:rPr>
          <w:rStyle w:val="FootnoteReference"/>
          <w:rFonts w:cs="Abz-2 (Badr)"/>
          <w:color w:val="000000" w:themeColor="text1"/>
          <w:spacing w:val="-6"/>
          <w:sz w:val="28"/>
          <w:szCs w:val="28"/>
          <w:rtl/>
          <w:lang w:bidi="ar"/>
        </w:rPr>
        <w:footnoteReference w:id="9"/>
      </w:r>
    </w:p>
    <w:p w14:paraId="35A85CCA" w14:textId="77777777" w:rsidR="0063552D" w:rsidRDefault="0063552D" w:rsidP="0063552D">
      <w:pPr>
        <w:widowControl w:val="0"/>
        <w:bidi/>
        <w:spacing w:after="0" w:line="252" w:lineRule="auto"/>
        <w:ind w:firstLine="284"/>
        <w:jc w:val="both"/>
        <w:rPr>
          <w:rFonts w:cs="Abz-2 (Badr)" w:hint="cs"/>
          <w:color w:val="0070C0"/>
          <w:sz w:val="28"/>
          <w:szCs w:val="28"/>
          <w:rtl/>
          <w:lang w:bidi="ar"/>
        </w:rPr>
      </w:pPr>
      <w:r>
        <w:rPr>
          <w:rFonts w:cs="Abz-2 (Badr)" w:hint="cs"/>
          <w:color w:val="000000" w:themeColor="text1"/>
          <w:sz w:val="28"/>
          <w:szCs w:val="28"/>
          <w:rtl/>
          <w:lang w:bidi="ar"/>
        </w:rPr>
        <w:t>وقال کاشف اللثام في توجيه ذل</w:t>
      </w:r>
      <w:r>
        <w:rPr>
          <w:rFonts w:cs="Abz-2 (Badr)" w:hint="cs"/>
          <w:color w:val="000000" w:themeColor="text1"/>
          <w:sz w:val="28"/>
          <w:szCs w:val="28"/>
          <w:rtl/>
        </w:rPr>
        <w:t>ك:</w:t>
      </w:r>
      <w:r>
        <w:rPr>
          <w:rFonts w:cs="Abz-2 (Badr)" w:hint="cs"/>
          <w:color w:val="000000" w:themeColor="text1"/>
          <w:sz w:val="28"/>
          <w:szCs w:val="28"/>
          <w:rtl/>
          <w:lang w:bidi="ar"/>
        </w:rPr>
        <w:t xml:space="preserve"> </w:t>
      </w:r>
      <w:r>
        <w:rPr>
          <w:rFonts w:cs="Abz-2 (Badr)" w:hint="cs"/>
          <w:color w:val="0070C0"/>
          <w:sz w:val="28"/>
          <w:szCs w:val="28"/>
          <w:rtl/>
          <w:lang w:bidi="ar"/>
        </w:rPr>
        <w:t xml:space="preserve">«إذ لا يتحقّق بدونه، إلاّ أن يكتفی بالتمكين مرّة مع الوثوق بالاستمرار عليه، أو </w:t>
      </w:r>
      <w:r>
        <w:rPr>
          <w:rFonts w:cs="Abz-2 (Badr)" w:hint="cs"/>
          <w:color w:val="0070C0"/>
          <w:sz w:val="28"/>
          <w:szCs w:val="28"/>
          <w:rtl/>
          <w:lang w:bidi="ar"/>
        </w:rPr>
        <w:lastRenderedPageBreak/>
        <w:t>بالوثوق وإن لم يحصل التمكين وإن بعد الفرض.»</w:t>
      </w:r>
      <w:r>
        <w:rPr>
          <w:rStyle w:val="FootnoteReference"/>
          <w:rFonts w:cs="Abz-2 (Badr)"/>
          <w:color w:val="000000" w:themeColor="text1"/>
          <w:spacing w:val="-6"/>
          <w:sz w:val="28"/>
          <w:szCs w:val="28"/>
          <w:rtl/>
          <w:lang w:bidi="ar"/>
        </w:rPr>
        <w:footnoteReference w:id="10"/>
      </w:r>
    </w:p>
    <w:p w14:paraId="16FC7BCA" w14:textId="77777777" w:rsidR="0063552D" w:rsidRDefault="0063552D" w:rsidP="0063552D">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rPr>
        <w:t>غير أنّ الشهيد الثاني وصاحب الجواهر قد أشكلا على هذا المطلب وسنذكر مدّعاهما في الجلسة الآتية إن شاء الله تعالى.</w:t>
      </w:r>
      <w:bookmarkEnd w:id="1"/>
    </w:p>
    <w:p w14:paraId="2AD04477" w14:textId="7D63A4A4" w:rsidR="00B706A3" w:rsidRPr="0063552D" w:rsidRDefault="00B706A3" w:rsidP="0063552D">
      <w:pPr>
        <w:rPr>
          <w:rtl/>
        </w:rPr>
      </w:pPr>
    </w:p>
    <w:sectPr w:rsidR="00B706A3" w:rsidRPr="0063552D" w:rsidSect="005815B4">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DEF6D" w14:textId="77777777" w:rsidR="00FA6CAB" w:rsidRDefault="00FA6CAB" w:rsidP="00F71127">
      <w:pPr>
        <w:spacing w:after="0" w:line="240" w:lineRule="auto"/>
      </w:pPr>
      <w:r>
        <w:separator/>
      </w:r>
    </w:p>
  </w:endnote>
  <w:endnote w:type="continuationSeparator" w:id="0">
    <w:p w14:paraId="74542A03" w14:textId="77777777" w:rsidR="00FA6CAB" w:rsidRDefault="00FA6CAB"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altName w:val="Arial"/>
    <w:panose1 w:val="00000400000000000000"/>
    <w:charset w:val="B2"/>
    <w:family w:val="auto"/>
    <w:pitch w:val="variable"/>
    <w:sig w:usb0="00002001" w:usb1="00000000" w:usb2="00000000" w:usb3="00000000" w:csb0="00000040" w:csb1="00000000"/>
  </w:font>
  <w:font w:name="IRBadr">
    <w:altName w:val="Arial"/>
    <w:charset w:val="00"/>
    <w:family w:val="auto"/>
    <w:pitch w:val="variable"/>
    <w:sig w:usb0="00002003" w:usb1="00000000" w:usb2="00000000" w:usb3="00000000" w:csb0="00000041"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F49C1" w14:textId="77777777" w:rsidR="00C64E5C" w:rsidRDefault="00C64E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424F3" w14:textId="77777777" w:rsidR="00C64E5C" w:rsidRDefault="00C64E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47074" w14:textId="77777777" w:rsidR="00FA6CAB" w:rsidRDefault="00FA6CAB" w:rsidP="00EE25C0">
      <w:pPr>
        <w:bidi/>
        <w:spacing w:after="0" w:line="240" w:lineRule="auto"/>
      </w:pPr>
      <w:r>
        <w:separator/>
      </w:r>
    </w:p>
  </w:footnote>
  <w:footnote w:type="continuationSeparator" w:id="0">
    <w:p w14:paraId="59AF76B9" w14:textId="77777777" w:rsidR="00FA6CAB" w:rsidRDefault="00FA6CAB" w:rsidP="00F71127">
      <w:pPr>
        <w:bidi/>
        <w:spacing w:after="0" w:line="240" w:lineRule="auto"/>
      </w:pPr>
      <w:r>
        <w:continuationSeparator/>
      </w:r>
    </w:p>
  </w:footnote>
  <w:footnote w:id="1">
    <w:p w14:paraId="6F25B604" w14:textId="77777777" w:rsidR="0063552D" w:rsidRDefault="0063552D" w:rsidP="0063552D">
      <w:pPr>
        <w:pStyle w:val="FootnoteText"/>
        <w:bidi/>
        <w:rPr>
          <w:rFonts w:cs="Abz-2 (Badr)" w:hint="cs"/>
          <w:rtl/>
          <w:lang w:bidi="fa-IR"/>
        </w:rPr>
      </w:pPr>
      <w:r>
        <w:rPr>
          <w:rStyle w:val="FootnoteReference"/>
          <w:rFonts w:cs="Abz-2 (Badr)"/>
        </w:rPr>
        <w:footnoteRef/>
      </w:r>
      <w:r>
        <w:rPr>
          <w:rFonts w:cs="Abz-2 (Badr)" w:hint="cs"/>
          <w:rtl/>
        </w:rPr>
        <w:t xml:space="preserve"> ـ قواعد الأحکام،ج3،ص103.</w:t>
      </w:r>
    </w:p>
  </w:footnote>
  <w:footnote w:id="2">
    <w:p w14:paraId="14C4BC27" w14:textId="77777777" w:rsidR="0063552D" w:rsidRDefault="0063552D" w:rsidP="0063552D">
      <w:pPr>
        <w:pStyle w:val="FootnoteText"/>
        <w:bidi/>
        <w:rPr>
          <w:rFonts w:cs="Abz-2 (Badr)" w:hint="cs"/>
          <w:rtl/>
          <w:lang w:bidi="fa-IR"/>
        </w:rPr>
      </w:pPr>
      <w:r>
        <w:rPr>
          <w:rStyle w:val="FootnoteReference"/>
          <w:rFonts w:cs="Abz-2 (Badr)"/>
        </w:rPr>
        <w:footnoteRef/>
      </w:r>
      <w:r>
        <w:rPr>
          <w:rFonts w:cs="Abz-2 (Badr)" w:hint="cs"/>
          <w:rtl/>
        </w:rPr>
        <w:t xml:space="preserve"> ـ مسالك </w:t>
      </w:r>
      <w:r>
        <w:rPr>
          <w:rFonts w:cs="Abz-2 (Badr)" w:hint="cs"/>
          <w:rtl/>
          <w:lang w:bidi="fa-IR"/>
        </w:rPr>
        <w:t>الأفهام</w:t>
      </w:r>
      <w:r>
        <w:rPr>
          <w:rFonts w:cs="Abz-2 (Badr)" w:hint="cs"/>
          <w:rtl/>
        </w:rPr>
        <w:t>،ج8،ص439 و 440.</w:t>
      </w:r>
    </w:p>
  </w:footnote>
  <w:footnote w:id="3">
    <w:p w14:paraId="5A72F204" w14:textId="77777777" w:rsidR="0063552D" w:rsidRDefault="0063552D" w:rsidP="0063552D">
      <w:pPr>
        <w:pStyle w:val="FootnoteText"/>
        <w:bidi/>
        <w:rPr>
          <w:rFonts w:cs="Abz-2 (Badr)" w:hint="cs"/>
          <w:rtl/>
          <w:lang w:bidi="fa-IR"/>
        </w:rPr>
      </w:pPr>
      <w:r>
        <w:rPr>
          <w:rStyle w:val="FootnoteReference"/>
          <w:rFonts w:cs="Abz-2 (Badr)"/>
        </w:rPr>
        <w:footnoteRef/>
      </w:r>
      <w:r>
        <w:rPr>
          <w:rFonts w:cs="Abz-2 (Badr)" w:hint="cs"/>
          <w:rtl/>
        </w:rPr>
        <w:t xml:space="preserve"> ـ جواهر الکلام،ج31،ص303.</w:t>
      </w:r>
    </w:p>
  </w:footnote>
  <w:footnote w:id="4">
    <w:p w14:paraId="06BB7918" w14:textId="77777777" w:rsidR="0063552D" w:rsidRDefault="0063552D" w:rsidP="0063552D">
      <w:pPr>
        <w:pStyle w:val="FootnoteText"/>
        <w:bidi/>
        <w:rPr>
          <w:rFonts w:cs="Abz-2 (Badr)" w:hint="cs"/>
          <w:rtl/>
          <w:lang w:bidi="fa-IR"/>
        </w:rPr>
      </w:pPr>
      <w:r>
        <w:rPr>
          <w:rStyle w:val="FootnoteReference"/>
          <w:rFonts w:cs="Abz-2 (Badr)"/>
        </w:rPr>
        <w:footnoteRef/>
      </w:r>
      <w:r>
        <w:rPr>
          <w:rFonts w:cs="Abz-2 (Badr)" w:hint="cs"/>
          <w:rtl/>
        </w:rPr>
        <w:t xml:space="preserve"> ـ تحرير الأحکام،ج4،ص21.</w:t>
      </w:r>
    </w:p>
  </w:footnote>
  <w:footnote w:id="5">
    <w:p w14:paraId="612147F0" w14:textId="77777777" w:rsidR="0063552D" w:rsidRDefault="0063552D" w:rsidP="0063552D">
      <w:pPr>
        <w:pStyle w:val="FootnoteText"/>
        <w:bidi/>
        <w:rPr>
          <w:rFonts w:cs="Abz-2 (Badr)" w:hint="cs"/>
          <w:rtl/>
          <w:lang w:bidi="fa-IR"/>
        </w:rPr>
      </w:pPr>
      <w:r>
        <w:rPr>
          <w:rStyle w:val="FootnoteReference"/>
          <w:rFonts w:cs="Abz-2 (Badr)"/>
        </w:rPr>
        <w:footnoteRef/>
      </w:r>
      <w:r>
        <w:rPr>
          <w:rFonts w:cs="Abz-2 (Badr)" w:hint="cs"/>
          <w:rtl/>
        </w:rPr>
        <w:t xml:space="preserve"> ـ کشف اللثام،ج7،ص557.</w:t>
      </w:r>
    </w:p>
  </w:footnote>
  <w:footnote w:id="6">
    <w:p w14:paraId="54D1A132" w14:textId="77777777" w:rsidR="0063552D" w:rsidRDefault="0063552D" w:rsidP="0063552D">
      <w:pPr>
        <w:pStyle w:val="FootnoteText"/>
        <w:bidi/>
        <w:rPr>
          <w:rFonts w:cs="Abz-2 (Badr)" w:hint="cs"/>
          <w:rtl/>
          <w:lang w:bidi="fa-IR"/>
        </w:rPr>
      </w:pPr>
      <w:r>
        <w:rPr>
          <w:rStyle w:val="FootnoteReference"/>
          <w:rFonts w:cs="Abz-2 (Badr)"/>
        </w:rPr>
        <w:footnoteRef/>
      </w:r>
      <w:r>
        <w:rPr>
          <w:rFonts w:cs="Abz-2 (Badr)" w:hint="cs"/>
          <w:rtl/>
        </w:rPr>
        <w:t xml:space="preserve"> ـ قواعد الأحکام،ج3،ص103.</w:t>
      </w:r>
    </w:p>
  </w:footnote>
  <w:footnote w:id="7">
    <w:p w14:paraId="0921E14C" w14:textId="77777777" w:rsidR="0063552D" w:rsidRDefault="0063552D" w:rsidP="0063552D">
      <w:pPr>
        <w:pStyle w:val="FootnoteText"/>
        <w:bidi/>
        <w:rPr>
          <w:rFonts w:cs="Abz-2 (Badr)" w:hint="cs"/>
          <w:rtl/>
          <w:lang w:bidi="fa-IR"/>
        </w:rPr>
      </w:pPr>
      <w:r>
        <w:rPr>
          <w:rStyle w:val="FootnoteReference"/>
          <w:rFonts w:cs="Abz-2 (Badr)"/>
        </w:rPr>
        <w:footnoteRef/>
      </w:r>
      <w:r>
        <w:rPr>
          <w:rFonts w:cs="Abz-2 (Badr)" w:hint="cs"/>
          <w:rtl/>
        </w:rPr>
        <w:t xml:space="preserve"> ـ مسالك </w:t>
      </w:r>
      <w:r>
        <w:rPr>
          <w:rFonts w:cs="Abz-2 (Badr)" w:hint="cs"/>
          <w:rtl/>
          <w:lang w:bidi="fa-IR"/>
        </w:rPr>
        <w:t>الأفهام</w:t>
      </w:r>
      <w:r>
        <w:rPr>
          <w:rFonts w:cs="Abz-2 (Badr)" w:hint="cs"/>
          <w:rtl/>
        </w:rPr>
        <w:t>،ج8،ص439 و 440.</w:t>
      </w:r>
    </w:p>
  </w:footnote>
  <w:footnote w:id="8">
    <w:p w14:paraId="73CCC3D3" w14:textId="77777777" w:rsidR="0063552D" w:rsidRDefault="0063552D" w:rsidP="0063552D">
      <w:pPr>
        <w:pStyle w:val="FootnoteText"/>
        <w:bidi/>
        <w:rPr>
          <w:rFonts w:cs="Abz-2 (Badr)" w:hint="cs"/>
          <w:rtl/>
          <w:lang w:bidi="fa-IR"/>
        </w:rPr>
      </w:pPr>
      <w:r>
        <w:rPr>
          <w:rStyle w:val="FootnoteReference"/>
          <w:rFonts w:cs="Abz-2 (Badr)"/>
        </w:rPr>
        <w:footnoteRef/>
      </w:r>
      <w:r>
        <w:rPr>
          <w:rFonts w:cs="Abz-2 (Badr)" w:hint="cs"/>
          <w:rtl/>
        </w:rPr>
        <w:t xml:space="preserve"> ـ جواهر الکلام،ج31،ص303.</w:t>
      </w:r>
    </w:p>
  </w:footnote>
  <w:footnote w:id="9">
    <w:p w14:paraId="11815DBB" w14:textId="77777777" w:rsidR="0063552D" w:rsidRDefault="0063552D" w:rsidP="0063552D">
      <w:pPr>
        <w:pStyle w:val="FootnoteText"/>
        <w:bidi/>
        <w:rPr>
          <w:rFonts w:cs="Abz-2 (Badr)" w:hint="cs"/>
          <w:rtl/>
          <w:lang w:bidi="fa-IR"/>
        </w:rPr>
      </w:pPr>
      <w:r>
        <w:rPr>
          <w:rStyle w:val="FootnoteReference"/>
          <w:rFonts w:cs="Abz-2 (Badr)"/>
        </w:rPr>
        <w:footnoteRef/>
      </w:r>
      <w:r>
        <w:rPr>
          <w:rFonts w:cs="Abz-2 (Badr)" w:hint="cs"/>
          <w:rtl/>
        </w:rPr>
        <w:t xml:space="preserve"> ـ تحرير الأحکام،ج4،ص21.</w:t>
      </w:r>
    </w:p>
  </w:footnote>
  <w:footnote w:id="10">
    <w:p w14:paraId="2AF58DF3" w14:textId="77777777" w:rsidR="0063552D" w:rsidRDefault="0063552D" w:rsidP="0063552D">
      <w:pPr>
        <w:pStyle w:val="FootnoteText"/>
        <w:bidi/>
        <w:rPr>
          <w:rFonts w:cs="Abz-2 (Badr)" w:hint="cs"/>
          <w:rtl/>
          <w:lang w:bidi="fa-IR"/>
        </w:rPr>
      </w:pPr>
      <w:r>
        <w:rPr>
          <w:rStyle w:val="FootnoteReference"/>
          <w:rFonts w:cs="Abz-2 (Badr)"/>
        </w:rPr>
        <w:footnoteRef/>
      </w:r>
      <w:r>
        <w:rPr>
          <w:rFonts w:cs="Abz-2 (Badr)" w:hint="cs"/>
          <w:rtl/>
        </w:rPr>
        <w:t xml:space="preserve"> ـ کشف اللثام،ج7،ص557.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0768E" w14:textId="77777777" w:rsidR="00C64E5C" w:rsidRDefault="00C64E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77799980">
              <wp:simplePos x="0" y="0"/>
              <wp:positionH relativeFrom="column">
                <wp:posOffset>1595120</wp:posOffset>
              </wp:positionH>
              <wp:positionV relativeFrom="paragraph">
                <wp:posOffset>180975</wp:posOffset>
              </wp:positionV>
              <wp:extent cx="4484370" cy="176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76212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4F6290AD"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63552D">
                            <w:rPr>
                              <w:rFonts w:cs="B Mehr" w:hint="cs"/>
                              <w:rtl/>
                              <w:lang w:bidi="fa-IR"/>
                            </w:rPr>
                            <w:t xml:space="preserve">سه </w:t>
                          </w:r>
                          <w:r w:rsidR="00A835C9">
                            <w:rPr>
                              <w:rFonts w:cs="B Mehr" w:hint="cs"/>
                              <w:rtl/>
                              <w:lang w:bidi="fa-IR"/>
                            </w:rPr>
                            <w:t>شنبه</w:t>
                          </w:r>
                          <w:r>
                            <w:rPr>
                              <w:rFonts w:cs="B Mehr" w:hint="cs"/>
                              <w:rtl/>
                              <w:lang w:bidi="fa-IR"/>
                            </w:rPr>
                            <w:t xml:space="preserve"> </w:t>
                          </w:r>
                          <w:r>
                            <w:rPr>
                              <w:rFonts w:cs="B Mehr" w:hint="cs"/>
                              <w:rtl/>
                            </w:rPr>
                            <w:t xml:space="preserve">،   </w:t>
                          </w:r>
                          <w:r w:rsidR="0063552D">
                            <w:rPr>
                              <w:rFonts w:cs="B Mehr" w:hint="cs"/>
                              <w:rtl/>
                              <w:lang w:bidi="fa-IR"/>
                            </w:rPr>
                            <w:t>8</w:t>
                          </w:r>
                          <w:r w:rsidR="00C253FC">
                            <w:rPr>
                              <w:rFonts w:cs="B Mehr" w:hint="cs"/>
                              <w:rtl/>
                              <w:lang w:bidi="fa-IR"/>
                            </w:rPr>
                            <w:t xml:space="preserve"> </w:t>
                          </w:r>
                          <w:r w:rsidR="00C64E5C">
                            <w:rPr>
                              <w:rFonts w:cs="B Mehr" w:hint="cs"/>
                              <w:rtl/>
                              <w:lang w:bidi="fa-IR"/>
                            </w:rPr>
                            <w:t xml:space="preserve"> </w:t>
                          </w:r>
                          <w:r w:rsidR="00B706A3">
                            <w:rPr>
                              <w:rFonts w:cs="B Mehr" w:hint="cs"/>
                              <w:rtl/>
                              <w:lang w:bidi="fa-IR"/>
                            </w:rPr>
                            <w:t>مهرما</w:t>
                          </w:r>
                          <w:r>
                            <w:rPr>
                              <w:rFonts w:cs="B Mehr" w:hint="cs"/>
                              <w:rtl/>
                            </w:rPr>
                            <w:t>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25.6pt;margin-top:14.25pt;width:353.1pt;height:13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4F6290AD"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63552D">
                      <w:rPr>
                        <w:rFonts w:cs="B Mehr" w:hint="cs"/>
                        <w:rtl/>
                        <w:lang w:bidi="fa-IR"/>
                      </w:rPr>
                      <w:t xml:space="preserve">سه </w:t>
                    </w:r>
                    <w:r w:rsidR="00A835C9">
                      <w:rPr>
                        <w:rFonts w:cs="B Mehr" w:hint="cs"/>
                        <w:rtl/>
                        <w:lang w:bidi="fa-IR"/>
                      </w:rPr>
                      <w:t>شنبه</w:t>
                    </w:r>
                    <w:r>
                      <w:rPr>
                        <w:rFonts w:cs="B Mehr" w:hint="cs"/>
                        <w:rtl/>
                        <w:lang w:bidi="fa-IR"/>
                      </w:rPr>
                      <w:t xml:space="preserve"> </w:t>
                    </w:r>
                    <w:r>
                      <w:rPr>
                        <w:rFonts w:cs="B Mehr" w:hint="cs"/>
                        <w:rtl/>
                      </w:rPr>
                      <w:t xml:space="preserve">،   </w:t>
                    </w:r>
                    <w:r w:rsidR="0063552D">
                      <w:rPr>
                        <w:rFonts w:cs="B Mehr" w:hint="cs"/>
                        <w:rtl/>
                        <w:lang w:bidi="fa-IR"/>
                      </w:rPr>
                      <w:t>8</w:t>
                    </w:r>
                    <w:r w:rsidR="00C253FC">
                      <w:rPr>
                        <w:rFonts w:cs="B Mehr" w:hint="cs"/>
                        <w:rtl/>
                        <w:lang w:bidi="fa-IR"/>
                      </w:rPr>
                      <w:t xml:space="preserve"> </w:t>
                    </w:r>
                    <w:r w:rsidR="00C64E5C">
                      <w:rPr>
                        <w:rFonts w:cs="B Mehr" w:hint="cs"/>
                        <w:rtl/>
                        <w:lang w:bidi="fa-IR"/>
                      </w:rPr>
                      <w:t xml:space="preserve"> </w:t>
                    </w:r>
                    <w:r w:rsidR="00B706A3">
                      <w:rPr>
                        <w:rFonts w:cs="B Mehr" w:hint="cs"/>
                        <w:rtl/>
                        <w:lang w:bidi="fa-IR"/>
                      </w:rPr>
                      <w:t>مهرما</w:t>
                    </w:r>
                    <w:r>
                      <w:rPr>
                        <w:rFonts w:cs="B Mehr" w:hint="cs"/>
                        <w:rtl/>
                      </w:rPr>
                      <w:t>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D6148" w14:textId="77777777" w:rsidR="00C64E5C" w:rsidRDefault="00C64E5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13DF"/>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88F"/>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351C"/>
    <w:rsid w:val="00123767"/>
    <w:rsid w:val="00123C66"/>
    <w:rsid w:val="00125597"/>
    <w:rsid w:val="001255F1"/>
    <w:rsid w:val="00125951"/>
    <w:rsid w:val="00125FA8"/>
    <w:rsid w:val="00125FDD"/>
    <w:rsid w:val="0012644A"/>
    <w:rsid w:val="0012691C"/>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67463"/>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1586"/>
    <w:rsid w:val="001E2500"/>
    <w:rsid w:val="001E259D"/>
    <w:rsid w:val="001E2F1F"/>
    <w:rsid w:val="001E316E"/>
    <w:rsid w:val="001E42BD"/>
    <w:rsid w:val="001E42C2"/>
    <w:rsid w:val="001E4A2F"/>
    <w:rsid w:val="001E5318"/>
    <w:rsid w:val="001E5F90"/>
    <w:rsid w:val="001E7DD4"/>
    <w:rsid w:val="001F0D9D"/>
    <w:rsid w:val="001F10F8"/>
    <w:rsid w:val="001F22D4"/>
    <w:rsid w:val="001F2A91"/>
    <w:rsid w:val="001F2AD5"/>
    <w:rsid w:val="001F2B6B"/>
    <w:rsid w:val="001F4E1F"/>
    <w:rsid w:val="001F55A0"/>
    <w:rsid w:val="001F5FEF"/>
    <w:rsid w:val="001F7036"/>
    <w:rsid w:val="001F7146"/>
    <w:rsid w:val="001F7742"/>
    <w:rsid w:val="001F7B61"/>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2CC8"/>
    <w:rsid w:val="00223760"/>
    <w:rsid w:val="00224A02"/>
    <w:rsid w:val="00224B4E"/>
    <w:rsid w:val="00225039"/>
    <w:rsid w:val="0022642F"/>
    <w:rsid w:val="00226A06"/>
    <w:rsid w:val="00226BFA"/>
    <w:rsid w:val="002275B4"/>
    <w:rsid w:val="00230ACF"/>
    <w:rsid w:val="00230EC1"/>
    <w:rsid w:val="0023164B"/>
    <w:rsid w:val="002316AF"/>
    <w:rsid w:val="00231CAC"/>
    <w:rsid w:val="0023210B"/>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166"/>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666"/>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98C"/>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41B2"/>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486"/>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3017E"/>
    <w:rsid w:val="00430B2C"/>
    <w:rsid w:val="004325DD"/>
    <w:rsid w:val="00432F13"/>
    <w:rsid w:val="00433357"/>
    <w:rsid w:val="004333C8"/>
    <w:rsid w:val="0043340D"/>
    <w:rsid w:val="004335E4"/>
    <w:rsid w:val="00434053"/>
    <w:rsid w:val="004342E8"/>
    <w:rsid w:val="00435007"/>
    <w:rsid w:val="0043525A"/>
    <w:rsid w:val="004360B2"/>
    <w:rsid w:val="00436E12"/>
    <w:rsid w:val="0043733E"/>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6D4"/>
    <w:rsid w:val="004B67F7"/>
    <w:rsid w:val="004B69C8"/>
    <w:rsid w:val="004B6FFA"/>
    <w:rsid w:val="004B709D"/>
    <w:rsid w:val="004B7366"/>
    <w:rsid w:val="004B78A6"/>
    <w:rsid w:val="004C09DD"/>
    <w:rsid w:val="004C0A9B"/>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4F6906"/>
    <w:rsid w:val="00501417"/>
    <w:rsid w:val="00501DA0"/>
    <w:rsid w:val="00501E11"/>
    <w:rsid w:val="00501E40"/>
    <w:rsid w:val="00504523"/>
    <w:rsid w:val="0050472E"/>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6E95"/>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714"/>
    <w:rsid w:val="00524815"/>
    <w:rsid w:val="00524A85"/>
    <w:rsid w:val="0052536B"/>
    <w:rsid w:val="00525A13"/>
    <w:rsid w:val="00525E9B"/>
    <w:rsid w:val="00526273"/>
    <w:rsid w:val="0052728F"/>
    <w:rsid w:val="00527B4D"/>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3AB8"/>
    <w:rsid w:val="005545A6"/>
    <w:rsid w:val="00554B94"/>
    <w:rsid w:val="00554D35"/>
    <w:rsid w:val="0055671F"/>
    <w:rsid w:val="00556729"/>
    <w:rsid w:val="00556776"/>
    <w:rsid w:val="005568E8"/>
    <w:rsid w:val="00557416"/>
    <w:rsid w:val="00557A92"/>
    <w:rsid w:val="0056175F"/>
    <w:rsid w:val="005617D1"/>
    <w:rsid w:val="00561AC7"/>
    <w:rsid w:val="005627B1"/>
    <w:rsid w:val="005628BC"/>
    <w:rsid w:val="0056332E"/>
    <w:rsid w:val="00563EA3"/>
    <w:rsid w:val="00563EA9"/>
    <w:rsid w:val="00564B32"/>
    <w:rsid w:val="00564CA4"/>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5B4"/>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294"/>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33"/>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552D"/>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9C5"/>
    <w:rsid w:val="00677FD6"/>
    <w:rsid w:val="00680C0B"/>
    <w:rsid w:val="00680C33"/>
    <w:rsid w:val="00681573"/>
    <w:rsid w:val="00681BD4"/>
    <w:rsid w:val="006835A9"/>
    <w:rsid w:val="00683E00"/>
    <w:rsid w:val="0068409B"/>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607"/>
    <w:rsid w:val="006C773B"/>
    <w:rsid w:val="006C7A51"/>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C08"/>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2A3"/>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359A"/>
    <w:rsid w:val="00834DD1"/>
    <w:rsid w:val="0083511D"/>
    <w:rsid w:val="008353D8"/>
    <w:rsid w:val="0083604C"/>
    <w:rsid w:val="00836783"/>
    <w:rsid w:val="00836FC7"/>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2E1B"/>
    <w:rsid w:val="0087360A"/>
    <w:rsid w:val="00874389"/>
    <w:rsid w:val="008744A3"/>
    <w:rsid w:val="008751D3"/>
    <w:rsid w:val="008755CE"/>
    <w:rsid w:val="00875CD7"/>
    <w:rsid w:val="00875F23"/>
    <w:rsid w:val="00876056"/>
    <w:rsid w:val="00876372"/>
    <w:rsid w:val="008774CF"/>
    <w:rsid w:val="00880173"/>
    <w:rsid w:val="00880698"/>
    <w:rsid w:val="00880E6D"/>
    <w:rsid w:val="00881627"/>
    <w:rsid w:val="00881E43"/>
    <w:rsid w:val="00882A45"/>
    <w:rsid w:val="008830C4"/>
    <w:rsid w:val="00883153"/>
    <w:rsid w:val="00884197"/>
    <w:rsid w:val="00884A15"/>
    <w:rsid w:val="00885058"/>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2C"/>
    <w:rsid w:val="00965DD0"/>
    <w:rsid w:val="009664CC"/>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017"/>
    <w:rsid w:val="009B7814"/>
    <w:rsid w:val="009C1C9D"/>
    <w:rsid w:val="009C3068"/>
    <w:rsid w:val="009C3B0D"/>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2C8C"/>
    <w:rsid w:val="00A2314A"/>
    <w:rsid w:val="00A23159"/>
    <w:rsid w:val="00A23AD9"/>
    <w:rsid w:val="00A2412C"/>
    <w:rsid w:val="00A24ED5"/>
    <w:rsid w:val="00A25398"/>
    <w:rsid w:val="00A264FF"/>
    <w:rsid w:val="00A2700D"/>
    <w:rsid w:val="00A272BC"/>
    <w:rsid w:val="00A27527"/>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FF9"/>
    <w:rsid w:val="00A82392"/>
    <w:rsid w:val="00A835C9"/>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2CB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50C0"/>
    <w:rsid w:val="00B553EC"/>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06A3"/>
    <w:rsid w:val="00B71B91"/>
    <w:rsid w:val="00B7242C"/>
    <w:rsid w:val="00B73524"/>
    <w:rsid w:val="00B73698"/>
    <w:rsid w:val="00B74363"/>
    <w:rsid w:val="00B74659"/>
    <w:rsid w:val="00B7468F"/>
    <w:rsid w:val="00B7484F"/>
    <w:rsid w:val="00B74F0F"/>
    <w:rsid w:val="00B7557E"/>
    <w:rsid w:val="00B75C0B"/>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4633"/>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347"/>
    <w:rsid w:val="00BF1FA6"/>
    <w:rsid w:val="00BF2570"/>
    <w:rsid w:val="00BF2C43"/>
    <w:rsid w:val="00BF2CBE"/>
    <w:rsid w:val="00BF46B9"/>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3FC"/>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4E5C"/>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359"/>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7225"/>
    <w:rsid w:val="00D701D9"/>
    <w:rsid w:val="00D70280"/>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13A"/>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2F91"/>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0D"/>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5EC"/>
    <w:rsid w:val="00EA36CE"/>
    <w:rsid w:val="00EA3E74"/>
    <w:rsid w:val="00EA57A0"/>
    <w:rsid w:val="00EA5958"/>
    <w:rsid w:val="00EA648C"/>
    <w:rsid w:val="00EA7966"/>
    <w:rsid w:val="00EB050B"/>
    <w:rsid w:val="00EB1D58"/>
    <w:rsid w:val="00EB26DB"/>
    <w:rsid w:val="00EB2FF6"/>
    <w:rsid w:val="00EB312B"/>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7708"/>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6EA8"/>
    <w:rsid w:val="00F1763E"/>
    <w:rsid w:val="00F17CBB"/>
    <w:rsid w:val="00F22DCF"/>
    <w:rsid w:val="00F248CE"/>
    <w:rsid w:val="00F24CA8"/>
    <w:rsid w:val="00F25495"/>
    <w:rsid w:val="00F25A88"/>
    <w:rsid w:val="00F2670D"/>
    <w:rsid w:val="00F275E0"/>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E2"/>
    <w:rsid w:val="00F46B08"/>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87992"/>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29AA"/>
    <w:rsid w:val="00FA310B"/>
    <w:rsid w:val="00FA3411"/>
    <w:rsid w:val="00FA3904"/>
    <w:rsid w:val="00FA3DF2"/>
    <w:rsid w:val="00FA41CD"/>
    <w:rsid w:val="00FA41F1"/>
    <w:rsid w:val="00FA4541"/>
    <w:rsid w:val="00FA4D69"/>
    <w:rsid w:val="00FA52DD"/>
    <w:rsid w:val="00FA5403"/>
    <w:rsid w:val="00FA5DD1"/>
    <w:rsid w:val="00FA6266"/>
    <w:rsid w:val="00FA69BB"/>
    <w:rsid w:val="00FA6CA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1F2E"/>
    <w:rsid w:val="00FE2D69"/>
    <w:rsid w:val="00FE339B"/>
    <w:rsid w:val="00FE3CCD"/>
    <w:rsid w:val="00FE3E51"/>
    <w:rsid w:val="00FE4A36"/>
    <w:rsid w:val="00FE5178"/>
    <w:rsid w:val="00FE5CC2"/>
    <w:rsid w:val="00FE64B4"/>
    <w:rsid w:val="00FE741C"/>
    <w:rsid w:val="00FE7F32"/>
    <w:rsid w:val="00FF0795"/>
    <w:rsid w:val="00FF3A94"/>
    <w:rsid w:val="00FF3BB3"/>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 w:type="paragraph" w:customStyle="1" w:styleId="a0">
    <w:name w:val="روایت و آیه"/>
    <w:basedOn w:val="Normal"/>
    <w:link w:val="Char"/>
    <w:qFormat/>
    <w:rsid w:val="00C64E5C"/>
    <w:pPr>
      <w:bidi/>
      <w:jc w:val="both"/>
    </w:pPr>
    <w:rPr>
      <w:rFonts w:ascii="IRBadr" w:hAnsi="IRBadr" w:cs="IRBadr"/>
      <w:b/>
      <w:bCs/>
      <w:color w:val="00B050"/>
      <w:kern w:val="2"/>
      <w:sz w:val="27"/>
      <w:szCs w:val="27"/>
      <w:lang w:bidi="fa-IR"/>
      <w14:ligatures w14:val="standardContextual"/>
    </w:rPr>
  </w:style>
  <w:style w:type="character" w:customStyle="1" w:styleId="Char">
    <w:name w:val="روایت و آیه Char"/>
    <w:basedOn w:val="DefaultParagraphFont"/>
    <w:link w:val="a0"/>
    <w:rsid w:val="00C64E5C"/>
    <w:rPr>
      <w:rFonts w:ascii="IRBadr" w:hAnsi="IRBadr" w:cs="IRBadr"/>
      <w:b/>
      <w:bCs/>
      <w:color w:val="00B050"/>
      <w:kern w:val="2"/>
      <w:sz w:val="27"/>
      <w:szCs w:val="27"/>
      <w:lang w:bidi="fa-I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1149389">
      <w:bodyDiv w:val="1"/>
      <w:marLeft w:val="0"/>
      <w:marRight w:val="0"/>
      <w:marTop w:val="0"/>
      <w:marBottom w:val="0"/>
      <w:divBdr>
        <w:top w:val="none" w:sz="0" w:space="0" w:color="auto"/>
        <w:left w:val="none" w:sz="0" w:space="0" w:color="auto"/>
        <w:bottom w:val="none" w:sz="0" w:space="0" w:color="auto"/>
        <w:right w:val="none" w:sz="0" w:space="0" w:color="auto"/>
      </w:divBdr>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1604170">
      <w:bodyDiv w:val="1"/>
      <w:marLeft w:val="0"/>
      <w:marRight w:val="0"/>
      <w:marTop w:val="0"/>
      <w:marBottom w:val="0"/>
      <w:divBdr>
        <w:top w:val="none" w:sz="0" w:space="0" w:color="auto"/>
        <w:left w:val="none" w:sz="0" w:space="0" w:color="auto"/>
        <w:bottom w:val="none" w:sz="0" w:space="0" w:color="auto"/>
        <w:right w:val="none" w:sz="0" w:space="0" w:color="auto"/>
      </w:divBdr>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6309916">
      <w:bodyDiv w:val="1"/>
      <w:marLeft w:val="0"/>
      <w:marRight w:val="0"/>
      <w:marTop w:val="0"/>
      <w:marBottom w:val="0"/>
      <w:divBdr>
        <w:top w:val="none" w:sz="0" w:space="0" w:color="auto"/>
        <w:left w:val="none" w:sz="0" w:space="0" w:color="auto"/>
        <w:bottom w:val="none" w:sz="0" w:space="0" w:color="auto"/>
        <w:right w:val="none" w:sz="0" w:space="0" w:color="auto"/>
      </w:divBdr>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7601235">
      <w:bodyDiv w:val="1"/>
      <w:marLeft w:val="0"/>
      <w:marRight w:val="0"/>
      <w:marTop w:val="0"/>
      <w:marBottom w:val="0"/>
      <w:divBdr>
        <w:top w:val="none" w:sz="0" w:space="0" w:color="auto"/>
        <w:left w:val="none" w:sz="0" w:space="0" w:color="auto"/>
        <w:bottom w:val="none" w:sz="0" w:space="0" w:color="auto"/>
        <w:right w:val="none" w:sz="0" w:space="0" w:color="auto"/>
      </w:divBdr>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4774052">
      <w:bodyDiv w:val="1"/>
      <w:marLeft w:val="0"/>
      <w:marRight w:val="0"/>
      <w:marTop w:val="0"/>
      <w:marBottom w:val="0"/>
      <w:divBdr>
        <w:top w:val="none" w:sz="0" w:space="0" w:color="auto"/>
        <w:left w:val="none" w:sz="0" w:space="0" w:color="auto"/>
        <w:bottom w:val="none" w:sz="0" w:space="0" w:color="auto"/>
        <w:right w:val="none" w:sz="0" w:space="0" w:color="auto"/>
      </w:divBdr>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5380901">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2679287">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216455">
      <w:bodyDiv w:val="1"/>
      <w:marLeft w:val="0"/>
      <w:marRight w:val="0"/>
      <w:marTop w:val="0"/>
      <w:marBottom w:val="0"/>
      <w:divBdr>
        <w:top w:val="none" w:sz="0" w:space="0" w:color="auto"/>
        <w:left w:val="none" w:sz="0" w:space="0" w:color="auto"/>
        <w:bottom w:val="none" w:sz="0" w:space="0" w:color="auto"/>
        <w:right w:val="none" w:sz="0" w:space="0" w:color="auto"/>
      </w:divBdr>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78396814">
      <w:bodyDiv w:val="1"/>
      <w:marLeft w:val="0"/>
      <w:marRight w:val="0"/>
      <w:marTop w:val="0"/>
      <w:marBottom w:val="0"/>
      <w:divBdr>
        <w:top w:val="none" w:sz="0" w:space="0" w:color="auto"/>
        <w:left w:val="none" w:sz="0" w:space="0" w:color="auto"/>
        <w:bottom w:val="none" w:sz="0" w:space="0" w:color="auto"/>
        <w:right w:val="none" w:sz="0" w:space="0" w:color="auto"/>
      </w:divBdr>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5087593">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0561292">
      <w:bodyDiv w:val="1"/>
      <w:marLeft w:val="0"/>
      <w:marRight w:val="0"/>
      <w:marTop w:val="0"/>
      <w:marBottom w:val="0"/>
      <w:divBdr>
        <w:top w:val="none" w:sz="0" w:space="0" w:color="auto"/>
        <w:left w:val="none" w:sz="0" w:space="0" w:color="auto"/>
        <w:bottom w:val="none" w:sz="0" w:space="0" w:color="auto"/>
        <w:right w:val="none" w:sz="0" w:space="0" w:color="auto"/>
      </w:divBdr>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38839545">
      <w:bodyDiv w:val="1"/>
      <w:marLeft w:val="0"/>
      <w:marRight w:val="0"/>
      <w:marTop w:val="0"/>
      <w:marBottom w:val="0"/>
      <w:divBdr>
        <w:top w:val="none" w:sz="0" w:space="0" w:color="auto"/>
        <w:left w:val="none" w:sz="0" w:space="0" w:color="auto"/>
        <w:bottom w:val="none" w:sz="0" w:space="0" w:color="auto"/>
        <w:right w:val="none" w:sz="0" w:space="0" w:color="auto"/>
      </w:divBdr>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21724</TotalTime>
  <Pages>1</Pages>
  <Words>1023</Words>
  <Characters>5833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606</cp:revision>
  <cp:lastPrinted>2025-04-14T09:12:00Z</cp:lastPrinted>
  <dcterms:created xsi:type="dcterms:W3CDTF">2022-10-16T08:36:00Z</dcterms:created>
  <dcterms:modified xsi:type="dcterms:W3CDTF">2025-09-30T15:40:00Z</dcterms:modified>
</cp:coreProperties>
</file>