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DA1C9" w14:textId="77777777" w:rsidR="00A835C9" w:rsidRDefault="00A835C9" w:rsidP="00A835C9">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E549374" w14:textId="77777777" w:rsidR="00A835C9" w:rsidRDefault="00A835C9" w:rsidP="00A835C9">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6DA9B7A8" w14:textId="77777777" w:rsidR="00A835C9" w:rsidRDefault="00A835C9" w:rsidP="00A835C9">
      <w:pPr>
        <w:widowControl w:val="0"/>
        <w:bidi/>
        <w:spacing w:after="0"/>
        <w:jc w:val="center"/>
        <w:rPr>
          <w:rFonts w:cs="B Mitra" w:hint="cs"/>
          <w:b/>
          <w:bCs/>
          <w:sz w:val="32"/>
          <w:szCs w:val="32"/>
          <w:rtl/>
          <w:lang w:bidi="fa-IR"/>
        </w:rPr>
      </w:pPr>
      <w:r>
        <w:rPr>
          <w:rFonts w:cs="B Mitra" w:hint="cs"/>
          <w:b/>
          <w:bCs/>
          <w:sz w:val="32"/>
          <w:szCs w:val="32"/>
          <w:rtl/>
          <w:lang w:bidi="fa-IR"/>
        </w:rPr>
        <w:t>جلسه 841</w:t>
      </w:r>
    </w:p>
    <w:p w14:paraId="22F7A52A" w14:textId="77777777" w:rsidR="00A835C9" w:rsidRDefault="00A835C9" w:rsidP="00A835C9">
      <w:pPr>
        <w:widowControl w:val="0"/>
        <w:bidi/>
        <w:spacing w:after="0"/>
        <w:ind w:firstLine="284"/>
        <w:jc w:val="both"/>
        <w:rPr>
          <w:rFonts w:cs="Abz-2 (Badr)" w:hint="cs"/>
          <w:sz w:val="28"/>
          <w:szCs w:val="28"/>
          <w:rtl/>
          <w:lang w:bidi="fa-IR"/>
        </w:rPr>
      </w:pPr>
      <w:bookmarkStart w:id="0" w:name="_Hlk159096966"/>
    </w:p>
    <w:p w14:paraId="1187FCED"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bookmarkStart w:id="1" w:name="_Hlk209798859"/>
      <w:bookmarkEnd w:id="0"/>
      <w:r>
        <w:rPr>
          <w:rFonts w:cs="Abz-2 (Badr)" w:hint="cs"/>
          <w:color w:val="000000" w:themeColor="text1"/>
          <w:sz w:val="28"/>
          <w:szCs w:val="28"/>
          <w:rtl/>
          <w:lang w:bidi="fa-IR"/>
        </w:rPr>
        <w:t>بقيه اخبار باب به قرار ذيل است:</w:t>
      </w:r>
    </w:p>
    <w:p w14:paraId="28FEBA36"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4 ـ خبر ابن أبي عمير عن </w:t>
      </w:r>
      <w:r>
        <w:rPr>
          <w:rFonts w:cs="Abz-2 (Badr)" w:hint="cs"/>
          <w:color w:val="000000" w:themeColor="text1"/>
          <w:sz w:val="28"/>
          <w:szCs w:val="28"/>
          <w:rtl/>
          <w:lang w:bidi="ar"/>
        </w:rPr>
        <w:t xml:space="preserve">جميل عن بعض أصحابنا عن أحدهما(ع) أنّه قال: </w:t>
      </w:r>
      <w:r>
        <w:rPr>
          <w:rFonts w:ascii="IRBadr" w:hAnsi="IRBadr" w:cs="Abz-2 (Badr)" w:hint="cs"/>
          <w:color w:val="70AD47" w:themeColor="accent6"/>
          <w:kern w:val="2"/>
          <w:sz w:val="28"/>
          <w:szCs w:val="28"/>
          <w:rtl/>
          <w:lang w:bidi="fa-IR"/>
          <w14:ligatures w14:val="standardContextual"/>
        </w:rPr>
        <w:t>«لا يجبر الرجل إلا على نفقة الأبوين والولد. قال: قلت لجميل: فالمرأة؟ قال: قد روى أصحابنا عن أحدهما(ع) أنّه قال: إذا كساها ما يواري عورتها وأطعمها ما يقيم صلبها قامت معه وإلا طلّقها. قال: قلت لجميل: فهل يجبر على نفقة الأُخت؟ قال: إن أُجبر على نفقة الأُخت كان ذلك خلاف الرواية.»</w:t>
      </w:r>
      <w:r>
        <w:rPr>
          <w:rFonts w:cs="Abz-2 (Badr)"/>
          <w:sz w:val="30"/>
          <w:szCs w:val="30"/>
          <w:vertAlign w:val="superscript"/>
          <w:rtl/>
        </w:rPr>
        <w:footnoteReference w:id="1"/>
      </w:r>
    </w:p>
    <w:p w14:paraId="4F3A603D"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5 ـ موثّقة </w:t>
      </w:r>
      <w:r>
        <w:rPr>
          <w:rFonts w:cs="Abz-2 (Badr)" w:hint="cs"/>
          <w:color w:val="000000" w:themeColor="text1"/>
          <w:sz w:val="28"/>
          <w:szCs w:val="28"/>
          <w:rtl/>
          <w:lang w:bidi="ar"/>
        </w:rPr>
        <w:t xml:space="preserve">إسحاق بن عمار، قال: </w:t>
      </w:r>
      <w:r>
        <w:rPr>
          <w:rFonts w:ascii="IRBadr" w:hAnsi="IRBadr" w:cs="Abz-2 (Badr)" w:hint="cs"/>
          <w:color w:val="70AD47" w:themeColor="accent6"/>
          <w:kern w:val="2"/>
          <w:sz w:val="28"/>
          <w:szCs w:val="28"/>
          <w:rtl/>
          <w:lang w:bidi="fa-IR"/>
          <w14:ligatures w14:val="standardContextual"/>
        </w:rPr>
        <w:t>«قلت لأبي عبدالله(ع): ما حقّ‌ المرأة على زوجها الذي إذا فعله كان محسناً؟ قال: يشبعها ويكسوها وإن جهلت غفر لها...»</w:t>
      </w:r>
      <w:r>
        <w:rPr>
          <w:rFonts w:cs="Abz-2 (Badr)"/>
          <w:sz w:val="30"/>
          <w:szCs w:val="30"/>
          <w:vertAlign w:val="superscript"/>
          <w:rtl/>
        </w:rPr>
        <w:footnoteReference w:id="2"/>
      </w:r>
    </w:p>
    <w:p w14:paraId="0D8AEDF6" w14:textId="77777777" w:rsidR="00A835C9" w:rsidRDefault="00A835C9" w:rsidP="00A835C9">
      <w:pPr>
        <w:widowControl w:val="0"/>
        <w:bidi/>
        <w:spacing w:after="0" w:line="249" w:lineRule="auto"/>
        <w:ind w:firstLine="284"/>
        <w:jc w:val="both"/>
        <w:rPr>
          <w:rFonts w:cs="Abz-2 (Badr)" w:hint="cs"/>
          <w:color w:val="92D050"/>
          <w:sz w:val="28"/>
          <w:szCs w:val="28"/>
          <w:rtl/>
          <w:lang w:bidi="fa-IR"/>
        </w:rPr>
      </w:pPr>
      <w:r>
        <w:rPr>
          <w:rFonts w:cs="Abz-2 (Badr)" w:hint="cs"/>
          <w:color w:val="000000" w:themeColor="text1"/>
          <w:sz w:val="28"/>
          <w:szCs w:val="28"/>
          <w:rtl/>
          <w:lang w:bidi="fa-IR"/>
        </w:rPr>
        <w:t xml:space="preserve">6 ـ خبر </w:t>
      </w:r>
      <w:r>
        <w:rPr>
          <w:rFonts w:cs="Abz-2 (Badr)" w:hint="cs"/>
          <w:color w:val="000000" w:themeColor="text1"/>
          <w:sz w:val="28"/>
          <w:szCs w:val="28"/>
          <w:rtl/>
          <w:lang w:bidi="ar"/>
        </w:rPr>
        <w:t xml:space="preserve">عمرو بن جبير العزرمي عن أبي عبدالله(ع)، قال: </w:t>
      </w:r>
      <w:r>
        <w:rPr>
          <w:rFonts w:cs="Abz-2 (Badr)" w:hint="cs"/>
          <w:color w:val="92D050"/>
          <w:sz w:val="28"/>
          <w:szCs w:val="28"/>
          <w:rtl/>
          <w:lang w:bidi="ar"/>
        </w:rPr>
        <w:t>«جاءت امرأة إلى النبي(ص) فسألته عن حقّ الزوج على المرأة فخبّرها، ثمّ قالت: فما حقّها عليه؟ قال: يكسوها من العُري ويطعمها من الجوع، وإن أذنبت غفر لها...»</w:t>
      </w:r>
      <w:r>
        <w:rPr>
          <w:rFonts w:cs="Abz-2 (Badr)"/>
          <w:sz w:val="30"/>
          <w:szCs w:val="30"/>
          <w:vertAlign w:val="superscript"/>
          <w:rtl/>
        </w:rPr>
        <w:footnoteReference w:id="3"/>
      </w:r>
    </w:p>
    <w:p w14:paraId="25D7BC21"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t xml:space="preserve">7 ـ خبر </w:t>
      </w:r>
      <w:r>
        <w:rPr>
          <w:rFonts w:cs="Abz-2 (Badr)" w:hint="cs"/>
          <w:color w:val="000000" w:themeColor="text1"/>
          <w:sz w:val="28"/>
          <w:szCs w:val="28"/>
          <w:rtl/>
          <w:lang w:bidi="ar"/>
        </w:rPr>
        <w:t xml:space="preserve">يونس‌ بن عمّار، قال: </w:t>
      </w:r>
      <w:r>
        <w:rPr>
          <w:rFonts w:cs="Abz-2 (Badr)" w:hint="cs"/>
          <w:color w:val="92D050"/>
          <w:sz w:val="28"/>
          <w:szCs w:val="28"/>
          <w:rtl/>
          <w:lang w:bidi="ar"/>
        </w:rPr>
        <w:t>«زوّجني أبو عبدالله(ع) جارية كانت لإسماعيل ابنه فقال:‌ أحسن إليها. فقلت: وما الإحسان إليها؟ فقال: أشبع بطنها واكس جثّتها واغفر ذنبها...»</w:t>
      </w:r>
      <w:r>
        <w:rPr>
          <w:rFonts w:cs="Abz-2 (Badr)"/>
          <w:sz w:val="30"/>
          <w:szCs w:val="30"/>
          <w:vertAlign w:val="superscript"/>
          <w:rtl/>
        </w:rPr>
        <w:footnoteReference w:id="4"/>
      </w:r>
    </w:p>
    <w:p w14:paraId="6058F595"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t xml:space="preserve">8 ـ صحيحة الحلبي </w:t>
      </w:r>
      <w:r>
        <w:rPr>
          <w:rFonts w:cs="Abz-2 (Badr)" w:hint="cs"/>
          <w:color w:val="000000" w:themeColor="text1"/>
          <w:sz w:val="28"/>
          <w:szCs w:val="28"/>
          <w:rtl/>
          <w:lang w:bidi="ar"/>
        </w:rPr>
        <w:t xml:space="preserve">عن أبي عبدالله(ع)، قال: </w:t>
      </w:r>
      <w:r>
        <w:rPr>
          <w:rFonts w:cs="Abz-2 (Badr)" w:hint="cs"/>
          <w:color w:val="92D050"/>
          <w:sz w:val="28"/>
          <w:szCs w:val="28"/>
          <w:rtl/>
          <w:lang w:bidi="ar"/>
        </w:rPr>
        <w:t xml:space="preserve">«قلت له: من الذي أُجبر على نفقته؟ قال: الوالدان والولد والزوجة </w:t>
      </w:r>
      <w:r>
        <w:rPr>
          <w:rFonts w:cs="Abz-2 (Badr)" w:hint="cs"/>
          <w:color w:val="92D050"/>
          <w:sz w:val="28"/>
          <w:szCs w:val="28"/>
          <w:rtl/>
          <w:lang w:bidi="ar"/>
        </w:rPr>
        <w:lastRenderedPageBreak/>
        <w:t>والوارث الصغير، يعني الأخ وابن الأخ وغيره.»</w:t>
      </w:r>
      <w:r>
        <w:rPr>
          <w:rFonts w:cs="Abz-2 (Badr)"/>
          <w:sz w:val="30"/>
          <w:szCs w:val="30"/>
          <w:vertAlign w:val="superscript"/>
          <w:rtl/>
        </w:rPr>
        <w:footnoteReference w:id="5"/>
      </w:r>
    </w:p>
    <w:p w14:paraId="4FD24CCA"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9 ـ حسنة </w:t>
      </w:r>
      <w:r>
        <w:rPr>
          <w:rFonts w:cs="Abz-2 (Badr)" w:hint="cs"/>
          <w:color w:val="000000" w:themeColor="text1"/>
          <w:sz w:val="28"/>
          <w:szCs w:val="28"/>
          <w:rtl/>
          <w:lang w:bidi="ar"/>
        </w:rPr>
        <w:t xml:space="preserve">شهاب بن عبدربّه، قال: </w:t>
      </w:r>
      <w:r>
        <w:rPr>
          <w:rFonts w:cs="Abz-2 (Badr)" w:hint="cs"/>
          <w:color w:val="92D050"/>
          <w:sz w:val="28"/>
          <w:szCs w:val="28"/>
          <w:rtl/>
          <w:lang w:bidi="ar"/>
        </w:rPr>
        <w:t>«قلت له: ما حقّ المرأة على زوجها؟ قال: يسدّ جوعتها ويستر عورتها ولا يقبّح لها وجهاً، فإذا فعل ذلك فقد والله أدّى إليها حقّها.»</w:t>
      </w:r>
      <w:r>
        <w:rPr>
          <w:rFonts w:cs="Abz-2 (Badr)"/>
          <w:sz w:val="30"/>
          <w:szCs w:val="30"/>
          <w:vertAlign w:val="superscript"/>
          <w:rtl/>
        </w:rPr>
        <w:footnoteReference w:id="6"/>
      </w:r>
    </w:p>
    <w:p w14:paraId="51D8BE4B"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t xml:space="preserve">10 ـ خبر تحف العقول عن أبي عبدالله(ع)، قال: </w:t>
      </w:r>
      <w:r>
        <w:rPr>
          <w:rFonts w:cs="Abz-2 (Badr)" w:hint="cs"/>
          <w:color w:val="92D050"/>
          <w:sz w:val="28"/>
          <w:szCs w:val="28"/>
          <w:rtl/>
          <w:lang w:bidi="ar"/>
        </w:rPr>
        <w:t>«...وأمّا الوجوه الخمس التي تجب عليه النفقة لمن تلزمه نفسه فعلى ولده ووالديه وامرأته ومملوكه، لازم له ذلك في حال العسر واليسر...»</w:t>
      </w:r>
      <w:r>
        <w:rPr>
          <w:rFonts w:cs="Abz-2 (Badr)"/>
          <w:sz w:val="30"/>
          <w:szCs w:val="30"/>
          <w:vertAlign w:val="superscript"/>
          <w:rtl/>
        </w:rPr>
        <w:footnoteReference w:id="7"/>
      </w:r>
    </w:p>
    <w:p w14:paraId="03092615" w14:textId="77777777" w:rsidR="00A835C9" w:rsidRDefault="00A835C9" w:rsidP="00A835C9">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از مجموع اين اخبار و همچين برخی از اخباری که در تفسير آيات شريفه گذشت، اجمالاً معلوم می</w:t>
      </w:r>
      <w:r>
        <w:rPr>
          <w:rFonts w:cs="Abz-2 (Badr)" w:hint="cs"/>
          <w:color w:val="000000" w:themeColor="text1"/>
          <w:sz w:val="28"/>
          <w:szCs w:val="28"/>
          <w:rtl/>
          <w:lang w:bidi="fa-IR"/>
        </w:rPr>
        <w:softHyphen/>
        <w:t>شود که نفقه زوج بر زوج واجب است. مضافاً بر اين که همان گونه که در ابتدای بحث گذشت، ادعای اجماع علمای اسلام بر سببيت زوجيت در وجوب نفقه شده است.</w:t>
      </w:r>
    </w:p>
    <w:p w14:paraId="11069726"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fa-IR"/>
        </w:rPr>
      </w:pPr>
    </w:p>
    <w:p w14:paraId="44E14407"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 xml:space="preserve">قال المحقّق الحلّي: «والشرط اثنان؛ الأوّل: أن يكون العقد دائماً. </w:t>
      </w:r>
    </w:p>
    <w:p w14:paraId="10FBAC5E"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الثاني: التمكين الكامل؛ وهو التخلية بينها وبينه بحيث لا تخصّ موضعاً ولا وقتاً. فلو بذلت نفسها في زمان دون زمان أو مكان دون مكان آخر ممّا يسوغ فيه الاستمتاع، لم يحصل التمكين.</w:t>
      </w:r>
    </w:p>
    <w:p w14:paraId="2210543D"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وفي وجوب النفقة بالعقد أو بالتمكين تردّد، أظهره بين الأصحاب وقوف الوجوب على التمكين.»</w:t>
      </w:r>
      <w:r>
        <w:rPr>
          <w:rStyle w:val="FootnoteReference"/>
          <w:rFonts w:cs="Abz-2 (Badr)"/>
          <w:color w:val="000000" w:themeColor="text1"/>
          <w:spacing w:val="-6"/>
          <w:sz w:val="28"/>
          <w:szCs w:val="28"/>
          <w:rtl/>
          <w:lang w:bidi="ar"/>
        </w:rPr>
        <w:footnoteReference w:id="8"/>
      </w:r>
    </w:p>
    <w:p w14:paraId="677C6394"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p>
    <w:p w14:paraId="2A05002E"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سابقاً و در بحث از نکاح موقت گذشت که نفقه زوجه در نکاح موقت بر زوج واجب نيست، هرچند اگر زوجه با زوج شرط کند که نفقه وی را بپردازد، در اين صورت عمل به شرط واجب خواهد بود.</w:t>
      </w:r>
    </w:p>
    <w:p w14:paraId="1CE4AF44"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و اما در خصوص مانعيت نشوز برای وجوب نفقه زوجه، به اخباری تمسّک شده است:</w:t>
      </w:r>
    </w:p>
    <w:p w14:paraId="0C249348" w14:textId="77777777" w:rsidR="00A835C9" w:rsidRDefault="00A835C9" w:rsidP="00A835C9">
      <w:pPr>
        <w:widowControl w:val="0"/>
        <w:bidi/>
        <w:spacing w:after="0" w:line="252" w:lineRule="auto"/>
        <w:ind w:firstLine="284"/>
        <w:jc w:val="both"/>
        <w:rPr>
          <w:rFonts w:cs="Abz-2 (Badr)" w:hint="cs"/>
          <w:color w:val="92D050"/>
          <w:sz w:val="28"/>
          <w:szCs w:val="28"/>
          <w:rtl/>
          <w:lang w:bidi="ar"/>
        </w:rPr>
      </w:pPr>
      <w:r>
        <w:rPr>
          <w:rFonts w:cs="Abz-2 (Badr)" w:hint="cs"/>
          <w:color w:val="000000" w:themeColor="text1"/>
          <w:sz w:val="28"/>
          <w:szCs w:val="28"/>
          <w:rtl/>
          <w:lang w:bidi="ar"/>
        </w:rPr>
        <w:lastRenderedPageBreak/>
        <w:t xml:space="preserve">1 ـ معتبرة السكوني عن أبي عبدالله(ع)، قال: </w:t>
      </w:r>
      <w:r>
        <w:rPr>
          <w:rFonts w:cs="Abz-2 (Badr)" w:hint="cs"/>
          <w:color w:val="92D050"/>
          <w:sz w:val="28"/>
          <w:szCs w:val="28"/>
          <w:rtl/>
          <w:lang w:bidi="ar"/>
        </w:rPr>
        <w:t>«قال رسول الله(ص): أيّما امرأة خرجت من بيتها بغير إذن زوجها فلا نفقة لها حتّى ترجع.»</w:t>
      </w:r>
      <w:r>
        <w:rPr>
          <w:rFonts w:cs="Abz-2 (Badr)"/>
          <w:sz w:val="30"/>
          <w:szCs w:val="30"/>
          <w:vertAlign w:val="superscript"/>
          <w:rtl/>
        </w:rPr>
        <w:footnoteReference w:id="9"/>
      </w:r>
    </w:p>
    <w:p w14:paraId="7232E0E2"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اين روايت حداکثر دلالت بر عدم نفقه در صورت خروج زوجه از منزل بدون اذن زوج دارد و نمی</w:t>
      </w:r>
      <w:r>
        <w:rPr>
          <w:rFonts w:cs="Abz-2 (Badr)" w:hint="cs"/>
          <w:color w:val="000000" w:themeColor="text1"/>
          <w:sz w:val="28"/>
          <w:szCs w:val="28"/>
          <w:rtl/>
          <w:lang w:bidi="ar"/>
        </w:rPr>
        <w:softHyphen/>
        <w:t>توان از آن استفاده کرد که مطلق نشوز، سبب سقوط نفقه زوجه است.</w:t>
      </w:r>
    </w:p>
    <w:p w14:paraId="24EA32FE" w14:textId="77777777" w:rsidR="00A835C9" w:rsidRDefault="00A835C9" w:rsidP="00A835C9">
      <w:pPr>
        <w:widowControl w:val="0"/>
        <w:bidi/>
        <w:spacing w:after="0" w:line="252" w:lineRule="auto"/>
        <w:ind w:firstLine="284"/>
        <w:jc w:val="both"/>
        <w:rPr>
          <w:rFonts w:cs="Abz-2 (Badr)" w:hint="cs"/>
          <w:color w:val="92D050"/>
          <w:sz w:val="28"/>
          <w:szCs w:val="28"/>
          <w:rtl/>
          <w:lang w:bidi="ar"/>
        </w:rPr>
      </w:pPr>
      <w:r>
        <w:rPr>
          <w:rFonts w:cs="Abz-2 (Badr)" w:hint="cs"/>
          <w:color w:val="000000" w:themeColor="text1"/>
          <w:sz w:val="28"/>
          <w:szCs w:val="28"/>
          <w:rtl/>
          <w:lang w:bidi="ar"/>
        </w:rPr>
        <w:t xml:space="preserve">2 ـ خبر تحف العقول عن النبي(ص) أنّه قال في حجّة الوداع: </w:t>
      </w:r>
      <w:r>
        <w:rPr>
          <w:rFonts w:cs="Abz-2 (Badr)" w:hint="cs"/>
          <w:color w:val="92D050"/>
          <w:sz w:val="28"/>
          <w:szCs w:val="28"/>
          <w:rtl/>
          <w:lang w:bidi="ar"/>
        </w:rPr>
        <w:t>«...إنّ لنسائكم عليكم حقّاً ولكم عليهنّ حقّاً؛ حقّكم عليهنّ أن لا يوطئن أحداً فرشكم، ولا يدخلن أحداً تكرهونه بيوتكم إلّا بإذنكم، وألّا يأتين بفاحشة، فإن فعلن فإن الله قد أذن لكم أن تعضلوهنّ وتهجروهنّ في المضاجع وتضربوهنّ ضربا غير مبرّح، فإذا انتهين وأطعنكم فعليكم رزقهنّ وكسوتهنّ...»</w:t>
      </w:r>
      <w:r>
        <w:rPr>
          <w:rFonts w:cs="Abz-2 (Badr)"/>
          <w:sz w:val="30"/>
          <w:szCs w:val="30"/>
          <w:vertAlign w:val="superscript"/>
          <w:rtl/>
        </w:rPr>
        <w:footnoteReference w:id="10"/>
      </w:r>
    </w:p>
    <w:p w14:paraId="47B2FB89"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اين روايت نيز دارای ضعف سندی است.</w:t>
      </w:r>
    </w:p>
    <w:p w14:paraId="386898A0"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در خصوص اين مطلب ادعای عدم خلاف</w:t>
      </w:r>
      <w:r>
        <w:rPr>
          <w:rStyle w:val="FootnoteReference"/>
          <w:rFonts w:cs="Abz-2 (Badr)"/>
          <w:color w:val="000000" w:themeColor="text1"/>
          <w:spacing w:val="-6"/>
          <w:sz w:val="28"/>
          <w:szCs w:val="28"/>
          <w:rtl/>
          <w:lang w:bidi="ar"/>
        </w:rPr>
        <w:footnoteReference w:id="11"/>
      </w:r>
      <w:r>
        <w:rPr>
          <w:rFonts w:cs="Abz-2 (Badr)" w:hint="cs"/>
          <w:color w:val="000000" w:themeColor="text1"/>
          <w:sz w:val="28"/>
          <w:szCs w:val="28"/>
          <w:rtl/>
          <w:lang w:bidi="ar"/>
        </w:rPr>
        <w:t xml:space="preserve"> و بلکه اجماع</w:t>
      </w:r>
      <w:r>
        <w:rPr>
          <w:rStyle w:val="FootnoteReference"/>
          <w:rFonts w:cs="Abz-2 (Badr)"/>
          <w:color w:val="000000" w:themeColor="text1"/>
          <w:spacing w:val="-6"/>
          <w:sz w:val="28"/>
          <w:szCs w:val="28"/>
          <w:rtl/>
          <w:lang w:bidi="ar"/>
        </w:rPr>
        <w:footnoteReference w:id="12"/>
      </w:r>
      <w:r>
        <w:rPr>
          <w:rFonts w:cs="Abz-2 (Badr)" w:hint="cs"/>
          <w:color w:val="000000" w:themeColor="text1"/>
          <w:sz w:val="28"/>
          <w:szCs w:val="28"/>
          <w:rtl/>
          <w:lang w:bidi="ar"/>
        </w:rPr>
        <w:t xml:space="preserve"> شده است.</w:t>
      </w:r>
    </w:p>
    <w:p w14:paraId="1FB41482" w14:textId="77777777" w:rsidR="00A835C9" w:rsidRDefault="00A835C9" w:rsidP="00A835C9">
      <w:pPr>
        <w:widowControl w:val="0"/>
        <w:bidi/>
        <w:spacing w:after="0" w:line="252" w:lineRule="auto"/>
        <w:ind w:firstLine="284"/>
        <w:jc w:val="both"/>
        <w:rPr>
          <w:rFonts w:cs="Abz-2 (Badr)" w:hint="cs"/>
          <w:color w:val="0070C0"/>
          <w:sz w:val="28"/>
          <w:szCs w:val="28"/>
          <w:rtl/>
        </w:rPr>
      </w:pPr>
      <w:r>
        <w:rPr>
          <w:rFonts w:cs="Abz-2 (Badr)" w:hint="cs"/>
          <w:color w:val="000000" w:themeColor="text1"/>
          <w:sz w:val="28"/>
          <w:szCs w:val="28"/>
          <w:rtl/>
        </w:rPr>
        <w:t>ابن قدامه حنبلی نيز می</w:t>
      </w:r>
      <w:r>
        <w:rPr>
          <w:rFonts w:cs="Abz-2 (Badr)" w:hint="cs"/>
          <w:color w:val="000000" w:themeColor="text1"/>
          <w:sz w:val="28"/>
          <w:szCs w:val="28"/>
          <w:rtl/>
        </w:rPr>
        <w:softHyphen/>
        <w:t xml:space="preserve">گويد: </w:t>
      </w:r>
      <w:r>
        <w:rPr>
          <w:rFonts w:cs="Abz-2 (Badr)" w:hint="cs"/>
          <w:color w:val="0070C0"/>
          <w:sz w:val="28"/>
          <w:szCs w:val="28"/>
          <w:rtl/>
        </w:rPr>
        <w:t>«اتّفق أهل العلم على وجوب نفقات الزوجات على أزواجهنّ إذا کانوا بالغين إلا الناشز منهنّ.»</w:t>
      </w:r>
      <w:r>
        <w:rPr>
          <w:rStyle w:val="FootnoteReference"/>
          <w:rFonts w:cs="Abz-2 (Badr)"/>
          <w:color w:val="000000" w:themeColor="text1"/>
          <w:spacing w:val="-6"/>
          <w:sz w:val="28"/>
          <w:szCs w:val="28"/>
          <w:rtl/>
          <w:lang w:bidi="ar"/>
        </w:rPr>
        <w:footnoteReference w:id="13"/>
      </w:r>
    </w:p>
    <w:p w14:paraId="5A8385A8"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بنابر اين می</w:t>
      </w:r>
      <w:r>
        <w:rPr>
          <w:rFonts w:cs="Abz-2 (Badr)" w:hint="cs"/>
          <w:color w:val="000000" w:themeColor="text1"/>
          <w:sz w:val="28"/>
          <w:szCs w:val="28"/>
          <w:rtl/>
          <w:lang w:bidi="ar"/>
        </w:rPr>
        <w:softHyphen/>
        <w:t>توان ادعای اجماع امت بر مسأله را داشت.</w:t>
      </w:r>
    </w:p>
    <w:p w14:paraId="02AB7459"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در نتيجه برای مانعيت نشوز برای وجوب نفقه زوجه می</w:t>
      </w:r>
      <w:r>
        <w:rPr>
          <w:rFonts w:cs="Abz-2 (Badr)" w:hint="cs"/>
          <w:color w:val="000000" w:themeColor="text1"/>
          <w:sz w:val="28"/>
          <w:szCs w:val="28"/>
          <w:rtl/>
          <w:lang w:bidi="ar"/>
        </w:rPr>
        <w:softHyphen/>
        <w:t>توان اين گونه استدلال نمود که چون اين مسأله عامه البلوی بوده و در نزد عامه نيز اجماع بر حکم مذکور وجود دارد و از طرفی مخالفتی از جانب ائمه(ع) نيز در مقابل آن ابراز نشده است و بلکه اصحاب ما نيز اجماع بر آن کرده</w:t>
      </w:r>
      <w:r>
        <w:rPr>
          <w:rFonts w:cs="Abz-2 (Badr)" w:hint="cs"/>
          <w:color w:val="000000" w:themeColor="text1"/>
          <w:sz w:val="28"/>
          <w:szCs w:val="28"/>
          <w:rtl/>
          <w:lang w:bidi="ar"/>
        </w:rPr>
        <w:softHyphen/>
        <w:t>اند، اين مطلب می</w:t>
      </w:r>
      <w:r>
        <w:rPr>
          <w:rFonts w:cs="Abz-2 (Badr)" w:hint="cs"/>
          <w:color w:val="000000" w:themeColor="text1"/>
          <w:sz w:val="28"/>
          <w:szCs w:val="28"/>
          <w:rtl/>
          <w:lang w:bidi="ar"/>
        </w:rPr>
        <w:softHyphen/>
        <w:t xml:space="preserve">تواند کاشف از تقرير معصوم(ع) برای مانعيت </w:t>
      </w:r>
      <w:r>
        <w:rPr>
          <w:rFonts w:cs="Abz-2 (Badr)" w:hint="cs"/>
          <w:color w:val="000000" w:themeColor="text1"/>
          <w:sz w:val="28"/>
          <w:szCs w:val="28"/>
          <w:rtl/>
          <w:lang w:bidi="ar"/>
        </w:rPr>
        <w:lastRenderedPageBreak/>
        <w:t>نشوز برای وجوب نفقه باشد.</w:t>
      </w:r>
    </w:p>
    <w:p w14:paraId="069B268B" w14:textId="77777777" w:rsidR="00A835C9" w:rsidRDefault="00A835C9" w:rsidP="00A835C9">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09225C6C"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بقيّة أخبار الباب كما يلي:</w:t>
      </w:r>
    </w:p>
    <w:p w14:paraId="06404F01"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bookmarkStart w:id="2" w:name="_Hlk210033974"/>
      <w:r>
        <w:rPr>
          <w:rFonts w:cs="Abz-2 (Badr)" w:hint="cs"/>
          <w:color w:val="000000" w:themeColor="text1"/>
          <w:sz w:val="28"/>
          <w:szCs w:val="28"/>
          <w:rtl/>
          <w:lang w:bidi="fa-IR"/>
        </w:rPr>
        <w:t xml:space="preserve">4 ـ خبر ابن أبي عمير عن </w:t>
      </w:r>
      <w:r>
        <w:rPr>
          <w:rFonts w:cs="Abz-2 (Badr)" w:hint="cs"/>
          <w:color w:val="000000" w:themeColor="text1"/>
          <w:sz w:val="28"/>
          <w:szCs w:val="28"/>
          <w:rtl/>
          <w:lang w:bidi="ar"/>
        </w:rPr>
        <w:t xml:space="preserve">جميل عن بعض أصحابنا عن أحدهما(ع) أنّه قال: </w:t>
      </w:r>
      <w:r>
        <w:rPr>
          <w:rFonts w:ascii="IRBadr" w:hAnsi="IRBadr" w:cs="Abz-2 (Badr)" w:hint="cs"/>
          <w:color w:val="70AD47" w:themeColor="accent6"/>
          <w:kern w:val="2"/>
          <w:sz w:val="28"/>
          <w:szCs w:val="28"/>
          <w:rtl/>
          <w:lang w:bidi="fa-IR"/>
          <w14:ligatures w14:val="standardContextual"/>
        </w:rPr>
        <w:t>«لا يجبر الرجل إلا على نفقة الأبوين والولد. قال: قلت لجميل: فالمرأة؟ قال: قد روى أصحابنا عن أحدهما(ع) أنّه قال: إذا كساها ما يواري عورتها وأطعمها ما يقيم صلبها قامت معه وإلا طلّقها. قال: قلت لجميل: فهل يجبر على نفقة الأُخت؟ قال: إن أُجبر على نفقة الأُخت كان ذلك خلاف الرواية.»</w:t>
      </w:r>
      <w:r>
        <w:rPr>
          <w:rFonts w:cs="Abz-2 (Badr)"/>
          <w:sz w:val="30"/>
          <w:szCs w:val="30"/>
          <w:vertAlign w:val="superscript"/>
          <w:rtl/>
        </w:rPr>
        <w:footnoteReference w:id="14"/>
      </w:r>
    </w:p>
    <w:p w14:paraId="6C239149"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5 ـ موثّقة </w:t>
      </w:r>
      <w:r>
        <w:rPr>
          <w:rFonts w:cs="Abz-2 (Badr)" w:hint="cs"/>
          <w:color w:val="000000" w:themeColor="text1"/>
          <w:sz w:val="28"/>
          <w:szCs w:val="28"/>
          <w:rtl/>
          <w:lang w:bidi="ar"/>
        </w:rPr>
        <w:t xml:space="preserve">إسحاق بن عمار، قال: </w:t>
      </w:r>
      <w:r>
        <w:rPr>
          <w:rFonts w:ascii="IRBadr" w:hAnsi="IRBadr" w:cs="Abz-2 (Badr)" w:hint="cs"/>
          <w:color w:val="70AD47" w:themeColor="accent6"/>
          <w:kern w:val="2"/>
          <w:sz w:val="28"/>
          <w:szCs w:val="28"/>
          <w:rtl/>
          <w:lang w:bidi="fa-IR"/>
          <w14:ligatures w14:val="standardContextual"/>
        </w:rPr>
        <w:t>«قلت لأبي عبدالله(ع): ما حقّ‌ المرأة على زوجها الذي إذا فعله كان محسناً؟ قال: يشبعها ويكسوها وإن جهلت غفر لها...»</w:t>
      </w:r>
      <w:r>
        <w:rPr>
          <w:rFonts w:cs="Abz-2 (Badr)"/>
          <w:sz w:val="30"/>
          <w:szCs w:val="30"/>
          <w:vertAlign w:val="superscript"/>
          <w:rtl/>
        </w:rPr>
        <w:footnoteReference w:id="15"/>
      </w:r>
    </w:p>
    <w:p w14:paraId="2B89921A" w14:textId="77777777" w:rsidR="00A835C9" w:rsidRDefault="00A835C9" w:rsidP="00A835C9">
      <w:pPr>
        <w:widowControl w:val="0"/>
        <w:bidi/>
        <w:spacing w:after="0" w:line="249" w:lineRule="auto"/>
        <w:ind w:firstLine="284"/>
        <w:jc w:val="both"/>
        <w:rPr>
          <w:rFonts w:cs="Abz-2 (Badr)" w:hint="cs"/>
          <w:color w:val="92D050"/>
          <w:sz w:val="28"/>
          <w:szCs w:val="28"/>
          <w:rtl/>
          <w:lang w:bidi="fa-IR"/>
        </w:rPr>
      </w:pPr>
      <w:r>
        <w:rPr>
          <w:rFonts w:cs="Abz-2 (Badr)" w:hint="cs"/>
          <w:color w:val="000000" w:themeColor="text1"/>
          <w:sz w:val="28"/>
          <w:szCs w:val="28"/>
          <w:rtl/>
          <w:lang w:bidi="fa-IR"/>
        </w:rPr>
        <w:t xml:space="preserve">6 ـ خبر </w:t>
      </w:r>
      <w:r>
        <w:rPr>
          <w:rFonts w:cs="Abz-2 (Badr)" w:hint="cs"/>
          <w:color w:val="000000" w:themeColor="text1"/>
          <w:sz w:val="28"/>
          <w:szCs w:val="28"/>
          <w:rtl/>
          <w:lang w:bidi="ar"/>
        </w:rPr>
        <w:t xml:space="preserve">عمرو بن جبير العزرمي عن أبي عبدالله(ع)، قال: </w:t>
      </w:r>
      <w:r>
        <w:rPr>
          <w:rFonts w:cs="Abz-2 (Badr)" w:hint="cs"/>
          <w:color w:val="92D050"/>
          <w:sz w:val="28"/>
          <w:szCs w:val="28"/>
          <w:rtl/>
          <w:lang w:bidi="ar"/>
        </w:rPr>
        <w:t>«جاءت امرأة إلى النبي(ص) فسألته عن حقّ الزوج على المرأة فخبّرها، ثمّ قالت: فما حقّها عليه؟ قال: يكسوها من العُري ويطعمها من الجوع، وإن أذنبت غفر لها...»</w:t>
      </w:r>
      <w:r>
        <w:rPr>
          <w:rFonts w:cs="Abz-2 (Badr)"/>
          <w:sz w:val="30"/>
          <w:szCs w:val="30"/>
          <w:vertAlign w:val="superscript"/>
          <w:rtl/>
        </w:rPr>
        <w:footnoteReference w:id="16"/>
      </w:r>
    </w:p>
    <w:p w14:paraId="57B6AC10"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t xml:space="preserve">7 ـ خبر </w:t>
      </w:r>
      <w:r>
        <w:rPr>
          <w:rFonts w:cs="Abz-2 (Badr)" w:hint="cs"/>
          <w:color w:val="000000" w:themeColor="text1"/>
          <w:sz w:val="28"/>
          <w:szCs w:val="28"/>
          <w:rtl/>
          <w:lang w:bidi="ar"/>
        </w:rPr>
        <w:t xml:space="preserve">يونس‌ بن عمّار، قال: </w:t>
      </w:r>
      <w:r>
        <w:rPr>
          <w:rFonts w:cs="Abz-2 (Badr)" w:hint="cs"/>
          <w:color w:val="92D050"/>
          <w:sz w:val="28"/>
          <w:szCs w:val="28"/>
          <w:rtl/>
          <w:lang w:bidi="ar"/>
        </w:rPr>
        <w:t>«زوّجني أبو عبدالله(ع) جارية كانت لإسماعيل ابنه فقال:‌ أحسن إليها. فقلت: وما الإحسان إليها؟ فقال: أشبع بطنها واكس جثّتها واغفر ذنبها...»</w:t>
      </w:r>
      <w:r>
        <w:rPr>
          <w:rFonts w:cs="Abz-2 (Badr)"/>
          <w:sz w:val="30"/>
          <w:szCs w:val="30"/>
          <w:vertAlign w:val="superscript"/>
          <w:rtl/>
        </w:rPr>
        <w:footnoteReference w:id="17"/>
      </w:r>
    </w:p>
    <w:p w14:paraId="15F3B9A2"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t xml:space="preserve">8 ـ صحيحة الحلبي </w:t>
      </w:r>
      <w:r>
        <w:rPr>
          <w:rFonts w:cs="Abz-2 (Badr)" w:hint="cs"/>
          <w:color w:val="000000" w:themeColor="text1"/>
          <w:sz w:val="28"/>
          <w:szCs w:val="28"/>
          <w:rtl/>
          <w:lang w:bidi="ar"/>
        </w:rPr>
        <w:t xml:space="preserve">عن أبي عبدالله(ع)، قال: </w:t>
      </w:r>
      <w:r>
        <w:rPr>
          <w:rFonts w:cs="Abz-2 (Badr)" w:hint="cs"/>
          <w:color w:val="92D050"/>
          <w:sz w:val="28"/>
          <w:szCs w:val="28"/>
          <w:rtl/>
          <w:lang w:bidi="ar"/>
        </w:rPr>
        <w:t>«قلت له: من الذي أُجبر على نفقته؟ قال: الوالدان والولد والزوجة والوارث الصغير، يعني الأخ وابن الأخ وغيره.»</w:t>
      </w:r>
      <w:r>
        <w:rPr>
          <w:rFonts w:cs="Abz-2 (Badr)"/>
          <w:sz w:val="30"/>
          <w:szCs w:val="30"/>
          <w:vertAlign w:val="superscript"/>
          <w:rtl/>
        </w:rPr>
        <w:footnoteReference w:id="18"/>
      </w:r>
    </w:p>
    <w:p w14:paraId="42252AD5" w14:textId="77777777" w:rsidR="00A835C9" w:rsidRDefault="00A835C9" w:rsidP="00A835C9">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9 ـ حسنة </w:t>
      </w:r>
      <w:r>
        <w:rPr>
          <w:rFonts w:cs="Abz-2 (Badr)" w:hint="cs"/>
          <w:color w:val="000000" w:themeColor="text1"/>
          <w:sz w:val="28"/>
          <w:szCs w:val="28"/>
          <w:rtl/>
          <w:lang w:bidi="ar"/>
        </w:rPr>
        <w:t xml:space="preserve">شهاب بن عبدربّه، قال: </w:t>
      </w:r>
      <w:r>
        <w:rPr>
          <w:rFonts w:cs="Abz-2 (Badr)" w:hint="cs"/>
          <w:color w:val="92D050"/>
          <w:sz w:val="28"/>
          <w:szCs w:val="28"/>
          <w:rtl/>
          <w:lang w:bidi="ar"/>
        </w:rPr>
        <w:t>«قلت له: ما حقّ المرأة على زوجها؟ قال: يسدّ جوعتها ويستر عورتها ولا يقبّح لها وجهاً، فإذا فعل ذلك فقد والله أدّى إليها حقّها.»</w:t>
      </w:r>
      <w:r>
        <w:rPr>
          <w:rFonts w:cs="Abz-2 (Badr)"/>
          <w:sz w:val="30"/>
          <w:szCs w:val="30"/>
          <w:vertAlign w:val="superscript"/>
          <w:rtl/>
        </w:rPr>
        <w:footnoteReference w:id="19"/>
      </w:r>
    </w:p>
    <w:p w14:paraId="26E902F3" w14:textId="77777777" w:rsidR="00A835C9" w:rsidRDefault="00A835C9" w:rsidP="00A835C9">
      <w:pPr>
        <w:widowControl w:val="0"/>
        <w:bidi/>
        <w:spacing w:after="0" w:line="249" w:lineRule="auto"/>
        <w:ind w:firstLine="284"/>
        <w:jc w:val="both"/>
        <w:rPr>
          <w:rFonts w:cs="Abz-2 (Badr)" w:hint="cs"/>
          <w:color w:val="92D050"/>
          <w:sz w:val="28"/>
          <w:szCs w:val="28"/>
          <w:rtl/>
          <w:lang w:bidi="ar"/>
        </w:rPr>
      </w:pPr>
      <w:r>
        <w:rPr>
          <w:rFonts w:cs="Abz-2 (Badr)" w:hint="cs"/>
          <w:color w:val="000000" w:themeColor="text1"/>
          <w:sz w:val="28"/>
          <w:szCs w:val="28"/>
          <w:rtl/>
          <w:lang w:bidi="fa-IR"/>
        </w:rPr>
        <w:lastRenderedPageBreak/>
        <w:t xml:space="preserve">10 ـ خبر تحف العقول عن أبي عبدالله(ع)، قال: </w:t>
      </w:r>
      <w:r>
        <w:rPr>
          <w:rFonts w:cs="Abz-2 (Badr)" w:hint="cs"/>
          <w:color w:val="92D050"/>
          <w:sz w:val="28"/>
          <w:szCs w:val="28"/>
          <w:rtl/>
          <w:lang w:bidi="ar"/>
        </w:rPr>
        <w:t>«...وأمّا الوجوه الخمس التي تجب عليه النفقة لمن تلزمه نفسه فعلى ولده ووالديه وامرأته ومملوكه، لازم له ذلك في حال العسر واليسر...»</w:t>
      </w:r>
      <w:r>
        <w:rPr>
          <w:rFonts w:cs="Abz-2 (Badr)"/>
          <w:sz w:val="30"/>
          <w:szCs w:val="30"/>
          <w:vertAlign w:val="superscript"/>
          <w:rtl/>
        </w:rPr>
        <w:footnoteReference w:id="20"/>
      </w:r>
    </w:p>
    <w:p w14:paraId="5422E863"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b/>
          <w:bCs/>
          <w:color w:val="000000" w:themeColor="text1"/>
          <w:sz w:val="28"/>
          <w:szCs w:val="28"/>
          <w:rtl/>
          <w:lang w:bidi="fa-IR"/>
        </w:rPr>
        <w:t>أقول:</w:t>
      </w:r>
      <w:r>
        <w:rPr>
          <w:rFonts w:cs="Abz-2 (Badr)" w:hint="cs"/>
          <w:color w:val="000000" w:themeColor="text1"/>
          <w:sz w:val="28"/>
          <w:szCs w:val="28"/>
          <w:rtl/>
          <w:lang w:bidi="fa-IR"/>
        </w:rPr>
        <w:t xml:space="preserve"> </w:t>
      </w:r>
      <w:r>
        <w:rPr>
          <w:rFonts w:cs="Abz-2 (Badr)" w:hint="cs"/>
          <w:color w:val="000000" w:themeColor="text1"/>
          <w:sz w:val="28"/>
          <w:szCs w:val="28"/>
          <w:rtl/>
        </w:rPr>
        <w:t>يستفاد إجمالاً من مجموع هذه الأخبار ـ مضافاً إلى بعض ما تقدّم في تفسير الآيات الشريفة ـ ثبوت وجوب نفقة الزوجة على الزوج.</w:t>
      </w:r>
    </w:p>
    <w:p w14:paraId="5A39FC13"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هذا، وقد مرّ في مطلع البحث أنّه قد ادّعي إجماع علماء الإسلام على سببيّة الزوجيّة في وجوب النفقة.</w:t>
      </w:r>
    </w:p>
    <w:bookmarkEnd w:id="2"/>
    <w:p w14:paraId="7D884422"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p>
    <w:p w14:paraId="6FAAC762"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 xml:space="preserve">قال المحقّق الحلّي: «والشرط اثنان؛ الأوّل: أن يكون العقد دائماً. </w:t>
      </w:r>
    </w:p>
    <w:p w14:paraId="05AFDE56"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الثاني: التمكين الكامل؛ وهو التخلية بينها وبينه بحيث لا تخصّ موضعاً ولا وقتاً. فلو بذلت نفسها في زمان دون زمان أو مكان دون مكان آخر ممّا يسوغ فيه الاستمتاع، لم يحصل التمكين.</w:t>
      </w:r>
    </w:p>
    <w:p w14:paraId="46F133BA" w14:textId="77777777" w:rsidR="00A835C9" w:rsidRDefault="00A835C9" w:rsidP="00A835C9">
      <w:pPr>
        <w:widowControl w:val="0"/>
        <w:bidi/>
        <w:spacing w:after="0" w:line="249" w:lineRule="auto"/>
        <w:ind w:left="1701"/>
        <w:jc w:val="both"/>
        <w:rPr>
          <w:rFonts w:cs="Abz-2 (Badr)" w:hint="cs"/>
          <w:color w:val="00B050"/>
          <w:spacing w:val="-6"/>
          <w:sz w:val="28"/>
          <w:szCs w:val="28"/>
          <w:rtl/>
          <w:lang w:bidi="ar"/>
        </w:rPr>
      </w:pPr>
      <w:r>
        <w:rPr>
          <w:rFonts w:cs="Abz-2 (Badr)" w:hint="cs"/>
          <w:color w:val="00B050"/>
          <w:spacing w:val="-6"/>
          <w:sz w:val="28"/>
          <w:szCs w:val="28"/>
          <w:rtl/>
          <w:lang w:bidi="ar"/>
        </w:rPr>
        <w:t>وفي وجوب النفقة بالعقد أو بالتمكين تردّد، أظهره بين الأصحاب وقوف الوجوب على التمكين.»</w:t>
      </w:r>
      <w:r>
        <w:rPr>
          <w:rStyle w:val="FootnoteReference"/>
          <w:rFonts w:cs="Abz-2 (Badr)"/>
          <w:color w:val="000000" w:themeColor="text1"/>
          <w:spacing w:val="-6"/>
          <w:sz w:val="28"/>
          <w:szCs w:val="28"/>
          <w:rtl/>
          <w:lang w:bidi="ar"/>
        </w:rPr>
        <w:footnoteReference w:id="21"/>
      </w:r>
    </w:p>
    <w:p w14:paraId="2E5A4009"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p>
    <w:p w14:paraId="57576E76"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bookmarkStart w:id="3" w:name="_Hlk210034008"/>
      <w:r>
        <w:rPr>
          <w:rFonts w:cs="Abz-2 (Badr)" w:hint="cs"/>
          <w:color w:val="000000" w:themeColor="text1"/>
          <w:sz w:val="28"/>
          <w:szCs w:val="28"/>
          <w:rtl/>
        </w:rPr>
        <w:t>قد تقدّم في مبحث النكاح المنقطع أنّه لا تجب فيه نفقة الزوجة على الزوج. نعم، لو اشترطت الزوجة على الزوج دفع نفقتها، وجب عليه الوفاء بالشرط</w:t>
      </w:r>
      <w:r>
        <w:rPr>
          <w:rFonts w:cs="Abz-2 (Badr)" w:hint="cs"/>
          <w:color w:val="000000" w:themeColor="text1"/>
          <w:sz w:val="28"/>
          <w:szCs w:val="28"/>
          <w:rtl/>
          <w:lang w:bidi="ar"/>
        </w:rPr>
        <w:t>.</w:t>
      </w:r>
    </w:p>
    <w:p w14:paraId="503592DC"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وأمّا في خصوص مانعيّة النشوز عن وجوب نفقة الزوجة، فقد استدلّ عليها ببعض الأخبار:</w:t>
      </w:r>
    </w:p>
    <w:p w14:paraId="324FF4A3" w14:textId="77777777" w:rsidR="00A835C9" w:rsidRDefault="00A835C9" w:rsidP="00A835C9">
      <w:pPr>
        <w:widowControl w:val="0"/>
        <w:bidi/>
        <w:spacing w:after="0" w:line="252" w:lineRule="auto"/>
        <w:ind w:firstLine="284"/>
        <w:jc w:val="both"/>
        <w:rPr>
          <w:rFonts w:cs="Abz-2 (Badr)" w:hint="cs"/>
          <w:color w:val="92D050"/>
          <w:sz w:val="28"/>
          <w:szCs w:val="28"/>
          <w:rtl/>
          <w:lang w:bidi="ar"/>
        </w:rPr>
      </w:pPr>
      <w:r>
        <w:rPr>
          <w:rFonts w:cs="Abz-2 (Badr)" w:hint="cs"/>
          <w:color w:val="000000" w:themeColor="text1"/>
          <w:sz w:val="28"/>
          <w:szCs w:val="28"/>
          <w:rtl/>
          <w:lang w:bidi="ar"/>
        </w:rPr>
        <w:t xml:space="preserve">منها: معتبرة السكوني عن أبي عبدالله(ع)، قال: </w:t>
      </w:r>
      <w:r>
        <w:rPr>
          <w:rFonts w:cs="Abz-2 (Badr)" w:hint="cs"/>
          <w:color w:val="92D050"/>
          <w:sz w:val="28"/>
          <w:szCs w:val="28"/>
          <w:rtl/>
          <w:lang w:bidi="ar"/>
        </w:rPr>
        <w:t>«قال رسول الله(ص): أيّما امرأة خرجت من بيتها بغير إذن زوجها فلا نفقة لها حتّى ترجع.»</w:t>
      </w:r>
      <w:r>
        <w:rPr>
          <w:rFonts w:cs="Abz-2 (Badr)"/>
          <w:sz w:val="30"/>
          <w:szCs w:val="30"/>
          <w:vertAlign w:val="superscript"/>
          <w:rtl/>
        </w:rPr>
        <w:footnoteReference w:id="22"/>
      </w:r>
    </w:p>
    <w:p w14:paraId="4068EE93"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لكن هذه الرواية لا تدلّ بأزيد من سقوط النفقة في صورة خروج الزوجة من منزلها بغير إذن زوجها، ولا يمكن التعدّي منها إلى مطلق النشوز ليكون سبباً في سقوط نفقة الزوجة.</w:t>
      </w:r>
    </w:p>
    <w:p w14:paraId="149563AF"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للهمّ إلّا أن يقال: إنّ الخروج من البيت بغير إذن الزوج عنوان مشير إلى النشوز ولا خصوصيّة له في نفسه، غير أنّ هذه الدعوى بلا دليل.</w:t>
      </w:r>
    </w:p>
    <w:p w14:paraId="421DE1BA" w14:textId="77777777" w:rsidR="00A835C9" w:rsidRDefault="00A835C9" w:rsidP="00A835C9">
      <w:pPr>
        <w:widowControl w:val="0"/>
        <w:bidi/>
        <w:spacing w:after="0" w:line="252" w:lineRule="auto"/>
        <w:ind w:firstLine="284"/>
        <w:jc w:val="both"/>
        <w:rPr>
          <w:rFonts w:cs="Abz-2 (Badr)" w:hint="cs"/>
          <w:color w:val="92D050"/>
          <w:sz w:val="28"/>
          <w:szCs w:val="28"/>
          <w:rtl/>
          <w:lang w:bidi="ar"/>
        </w:rPr>
      </w:pPr>
      <w:r>
        <w:rPr>
          <w:rFonts w:cs="Abz-2 (Badr)" w:hint="cs"/>
          <w:color w:val="000000" w:themeColor="text1"/>
          <w:sz w:val="28"/>
          <w:szCs w:val="28"/>
          <w:rtl/>
          <w:lang w:bidi="ar"/>
        </w:rPr>
        <w:t xml:space="preserve">ومنها: خبر تحف العقول عن النبي(ص) أنّه قال في حجّة الوداع: </w:t>
      </w:r>
      <w:r>
        <w:rPr>
          <w:rFonts w:cs="Abz-2 (Badr)" w:hint="cs"/>
          <w:color w:val="92D050"/>
          <w:sz w:val="28"/>
          <w:szCs w:val="28"/>
          <w:rtl/>
          <w:lang w:bidi="ar"/>
        </w:rPr>
        <w:t>«...إنّ لنسائكم عليكم حقّاً ولكم عليهنّ حقّاً؛ حقّكم عليهنّ أن لا يوطئن أحداً فرشكم، ولا يدخلن أحداً تكرهونه بيوتكم إلّا بإذنكم، وألّا يأتين بفاحشة، فإن فعلن فإن الله قد أذن لكم أن تعضلوهنّ وتهجروهنّ في المضاجع وتضربوهنّ ضربا غير مبرّح، فإذا انتهين وأطعنكم فعليكم رزقهنّ وكسوتهنّ...»</w:t>
      </w:r>
      <w:r>
        <w:rPr>
          <w:rFonts w:cs="Abz-2 (Badr)"/>
          <w:sz w:val="30"/>
          <w:szCs w:val="30"/>
          <w:vertAlign w:val="superscript"/>
          <w:rtl/>
        </w:rPr>
        <w:footnoteReference w:id="23"/>
      </w:r>
    </w:p>
    <w:p w14:paraId="0F697C68" w14:textId="77777777" w:rsidR="00A835C9" w:rsidRDefault="00A835C9" w:rsidP="00A835C9">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ولکنّه ضعيف سنداً.</w:t>
      </w:r>
    </w:p>
    <w:p w14:paraId="5CD66178"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إلا أنّ هذا الحکم قد ادّعي فيه عدم الخلاف</w:t>
      </w:r>
      <w:r>
        <w:rPr>
          <w:rStyle w:val="FootnoteReference"/>
          <w:rFonts w:cs="Abz-2 (Badr)"/>
          <w:color w:val="000000" w:themeColor="text1"/>
          <w:spacing w:val="-6"/>
          <w:sz w:val="28"/>
          <w:szCs w:val="28"/>
          <w:rtl/>
          <w:lang w:bidi="ar"/>
        </w:rPr>
        <w:footnoteReference w:id="24"/>
      </w:r>
      <w:r>
        <w:rPr>
          <w:rFonts w:cs="Abz-2 (Badr)" w:hint="cs"/>
          <w:color w:val="000000" w:themeColor="text1"/>
          <w:sz w:val="28"/>
          <w:szCs w:val="28"/>
          <w:rtl/>
          <w:lang w:bidi="ar"/>
        </w:rPr>
        <w:t xml:space="preserve"> بل الإجماع</w:t>
      </w:r>
      <w:r>
        <w:rPr>
          <w:rStyle w:val="FootnoteReference"/>
          <w:rFonts w:cs="Abz-2 (Badr)"/>
          <w:color w:val="000000" w:themeColor="text1"/>
          <w:spacing w:val="-6"/>
          <w:sz w:val="28"/>
          <w:szCs w:val="28"/>
          <w:rtl/>
          <w:lang w:bidi="ar"/>
        </w:rPr>
        <w:footnoteReference w:id="25"/>
      </w:r>
      <w:r>
        <w:rPr>
          <w:rFonts w:cs="Abz-2 (Badr)" w:hint="cs"/>
          <w:color w:val="000000" w:themeColor="text1"/>
          <w:sz w:val="28"/>
          <w:szCs w:val="28"/>
          <w:rtl/>
          <w:lang w:bidi="ar"/>
        </w:rPr>
        <w:t>.</w:t>
      </w:r>
    </w:p>
    <w:p w14:paraId="27662192" w14:textId="77777777" w:rsidR="00A835C9" w:rsidRDefault="00A835C9" w:rsidP="00A835C9">
      <w:pPr>
        <w:widowControl w:val="0"/>
        <w:bidi/>
        <w:spacing w:after="0" w:line="252" w:lineRule="auto"/>
        <w:ind w:firstLine="284"/>
        <w:jc w:val="both"/>
        <w:rPr>
          <w:rFonts w:cs="Abz-2 (Badr)" w:hint="cs"/>
          <w:color w:val="0070C0"/>
          <w:sz w:val="28"/>
          <w:szCs w:val="28"/>
          <w:rtl/>
        </w:rPr>
      </w:pPr>
      <w:r>
        <w:rPr>
          <w:rFonts w:cs="Abz-2 (Badr)" w:hint="cs"/>
          <w:color w:val="000000" w:themeColor="text1"/>
          <w:sz w:val="28"/>
          <w:szCs w:val="28"/>
          <w:rtl/>
        </w:rPr>
        <w:t xml:space="preserve">وقال ابن قدامة الحنبلي: </w:t>
      </w:r>
      <w:r>
        <w:rPr>
          <w:rFonts w:cs="Abz-2 (Badr)" w:hint="cs"/>
          <w:color w:val="0070C0"/>
          <w:sz w:val="28"/>
          <w:szCs w:val="28"/>
          <w:rtl/>
        </w:rPr>
        <w:t>«اتّفق أهل العلم على وجوب نفقات الزوجات على أزواجهنّ إذا کانوا بالغين إلا الناشز منهنّ.»</w:t>
      </w:r>
      <w:r>
        <w:rPr>
          <w:rStyle w:val="FootnoteReference"/>
          <w:rFonts w:cs="Abz-2 (Badr)"/>
          <w:color w:val="000000" w:themeColor="text1"/>
          <w:spacing w:val="-6"/>
          <w:sz w:val="28"/>
          <w:szCs w:val="28"/>
          <w:rtl/>
          <w:lang w:bidi="ar"/>
        </w:rPr>
        <w:footnoteReference w:id="26"/>
      </w:r>
    </w:p>
    <w:p w14:paraId="1422A3E0"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t>فبناءً على ذلك يمكن ادّعاء إجماع الأُمّة على المسألة</w:t>
      </w:r>
      <w:r>
        <w:rPr>
          <w:rFonts w:cs="Abz-2 (Badr)" w:hint="cs"/>
          <w:color w:val="000000" w:themeColor="text1"/>
          <w:sz w:val="28"/>
          <w:szCs w:val="28"/>
          <w:rtl/>
          <w:lang w:bidi="ar"/>
        </w:rPr>
        <w:t>.</w:t>
      </w:r>
    </w:p>
    <w:p w14:paraId="0FF586F2"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t>فالنتيجة أنّه يمكن الاستدلال على مانعيّة النشوز عن وجوب نفقة الزوجة بأنّه بعد كون المسألة عامّة البلوى، وانعقاد الإجماع على الحكم فيها عند العامّة، وعدم نقل مخالفة عن الأئمّة(ع) في ذلك، بل مع ورود بعض الأخبار المؤيّدة، ودعوى إجماع الأصحاب أيضاً عليه، يكون ذلك كاشفاً عن تقرير المعصوم(ع) لمانعيّة النشوز عن وجوب النفقة</w:t>
      </w:r>
      <w:r>
        <w:rPr>
          <w:rFonts w:cs="Abz-2 (Badr)" w:hint="cs"/>
          <w:color w:val="000000" w:themeColor="text1"/>
          <w:sz w:val="28"/>
          <w:szCs w:val="28"/>
          <w:rtl/>
          <w:lang w:bidi="ar"/>
        </w:rPr>
        <w:t>.</w:t>
      </w:r>
    </w:p>
    <w:bookmarkEnd w:id="1"/>
    <w:bookmarkEnd w:id="3"/>
    <w:p w14:paraId="594698BA" w14:textId="77777777" w:rsidR="00A835C9" w:rsidRDefault="00A835C9" w:rsidP="00A835C9">
      <w:pPr>
        <w:widowControl w:val="0"/>
        <w:bidi/>
        <w:spacing w:after="0" w:line="252" w:lineRule="auto"/>
        <w:ind w:firstLine="284"/>
        <w:jc w:val="both"/>
        <w:rPr>
          <w:rFonts w:cs="Abz-2 (Badr)" w:hint="cs"/>
          <w:color w:val="000000" w:themeColor="text1"/>
          <w:sz w:val="28"/>
          <w:szCs w:val="28"/>
          <w:rtl/>
          <w:lang w:bidi="ar"/>
        </w:rPr>
      </w:pPr>
    </w:p>
    <w:p w14:paraId="2AD04477" w14:textId="7D63A4A4" w:rsidR="00B706A3" w:rsidRPr="00A835C9" w:rsidRDefault="00B706A3" w:rsidP="00A835C9">
      <w:pPr>
        <w:rPr>
          <w:rtl/>
        </w:rPr>
      </w:pPr>
    </w:p>
    <w:sectPr w:rsidR="00B706A3" w:rsidRPr="00A835C9"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6DCB6" w14:textId="77777777" w:rsidR="005F6033" w:rsidRDefault="005F6033" w:rsidP="00F71127">
      <w:pPr>
        <w:spacing w:after="0" w:line="240" w:lineRule="auto"/>
      </w:pPr>
      <w:r>
        <w:separator/>
      </w:r>
    </w:p>
  </w:endnote>
  <w:endnote w:type="continuationSeparator" w:id="0">
    <w:p w14:paraId="480D070C" w14:textId="77777777" w:rsidR="005F6033" w:rsidRDefault="005F6033"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49C1" w14:textId="77777777" w:rsidR="00C64E5C" w:rsidRDefault="00C64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24F3" w14:textId="77777777" w:rsidR="00C64E5C" w:rsidRDefault="00C6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A7B5" w14:textId="77777777" w:rsidR="005F6033" w:rsidRDefault="005F6033" w:rsidP="00EE25C0">
      <w:pPr>
        <w:bidi/>
        <w:spacing w:after="0" w:line="240" w:lineRule="auto"/>
      </w:pPr>
      <w:r>
        <w:separator/>
      </w:r>
    </w:p>
  </w:footnote>
  <w:footnote w:type="continuationSeparator" w:id="0">
    <w:p w14:paraId="1736E66D" w14:textId="77777777" w:rsidR="005F6033" w:rsidRDefault="005F6033" w:rsidP="00F71127">
      <w:pPr>
        <w:bidi/>
        <w:spacing w:after="0" w:line="240" w:lineRule="auto"/>
      </w:pPr>
      <w:r>
        <w:continuationSeparator/>
      </w:r>
    </w:p>
  </w:footnote>
  <w:footnote w:id="1">
    <w:p w14:paraId="045DF4DC"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تهذيب الأحکام،ج6،ص347،ح977 ـ وسائل الشيعة، همان، ذيل ح4.</w:t>
      </w:r>
    </w:p>
  </w:footnote>
  <w:footnote w:id="2">
    <w:p w14:paraId="238754DF"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الکافي،ج5،ص510 و 511،ح1 ـ وسائل الشيعة، همان،ص511،ح5.</w:t>
      </w:r>
    </w:p>
  </w:footnote>
  <w:footnote w:id="3">
    <w:p w14:paraId="19CFA44A"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الکافي،ج5،ص511،ح2 ـ وسائل الشيعة، همان،ح7.</w:t>
      </w:r>
    </w:p>
  </w:footnote>
  <w:footnote w:id="4">
    <w:p w14:paraId="4DDE63FA"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الکافي،ج5،ص511،ح4 ـ وسائل الشيعة، همان،ح8.</w:t>
      </w:r>
    </w:p>
  </w:footnote>
  <w:footnote w:id="5">
    <w:p w14:paraId="67AE5764"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الفقيه،ج3،ص105،ح3424 ـ وسائل الشيعة، همان،ص511 و 512،ح9.</w:t>
      </w:r>
    </w:p>
  </w:footnote>
  <w:footnote w:id="6">
    <w:p w14:paraId="265B94E9"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تهذيب الأحکام،ج7،ص457،ح1830 ـ وسائل الشيعة،ج21، الباب 2 من أبواب النفقات،ص514، ذيل ح1.</w:t>
      </w:r>
    </w:p>
  </w:footnote>
  <w:footnote w:id="7">
    <w:p w14:paraId="226C729B"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تحف العقول،ص336 ـ وسائل الشيعة،ج21، الباب 4 من أبواب النفقات،ص515،ح1.</w:t>
      </w:r>
    </w:p>
  </w:footnote>
  <w:footnote w:id="8">
    <w:p w14:paraId="3575747C"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شرائع،ج2،ص291.</w:t>
      </w:r>
    </w:p>
  </w:footnote>
  <w:footnote w:id="9">
    <w:p w14:paraId="76027A28"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الکافي،ج5،ص514،ح5 ـ وسائل الشيعة،ج21، الباب 6 من أبواب النفقات،ص517،ح1.</w:t>
      </w:r>
    </w:p>
  </w:footnote>
  <w:footnote w:id="10">
    <w:p w14:paraId="58154AD0"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تحف العقول،ص33ـ وسائل الشيعة، همان،ح1.</w:t>
      </w:r>
    </w:p>
  </w:footnote>
  <w:footnote w:id="11">
    <w:p w14:paraId="43E3F82F"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رياض المسائل،ج12،ص166.</w:t>
      </w:r>
    </w:p>
  </w:footnote>
  <w:footnote w:id="12">
    <w:p w14:paraId="1BB50F20"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غاية المرام،ج3،ص181 _ جواهر الکلام،ج31،ص303.</w:t>
      </w:r>
    </w:p>
  </w:footnote>
  <w:footnote w:id="13">
    <w:p w14:paraId="0C11EF42"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المغني،ج8،ص195.</w:t>
      </w:r>
    </w:p>
  </w:footnote>
  <w:footnote w:id="14">
    <w:p w14:paraId="27146609"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تهذيب الأحکام،ج6،ص347،ح977 ـ وسائل الشيعة، همان، ذيل ح4.</w:t>
      </w:r>
    </w:p>
  </w:footnote>
  <w:footnote w:id="15">
    <w:p w14:paraId="549B1D71"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الکافي،ج5،ص510 و 511،ح1 ـ وسائل الشيعة، همان،ص511،ح5.</w:t>
      </w:r>
    </w:p>
  </w:footnote>
  <w:footnote w:id="16">
    <w:p w14:paraId="5DC55E67"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الکافي،ج5،ص511،ح2 ـ وسائل الشيعة، همان،ح7.</w:t>
      </w:r>
    </w:p>
  </w:footnote>
  <w:footnote w:id="17">
    <w:p w14:paraId="77C373E6"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الکافي،ج5،ص511،ح4 ـ وسائل الشيعة، همان،ح8.</w:t>
      </w:r>
    </w:p>
  </w:footnote>
  <w:footnote w:id="18">
    <w:p w14:paraId="204240A2"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الفقيه،ج3،ص105،ح3424 ـ وسائل الشيعة، همان،ص511 و 512،ح9.</w:t>
      </w:r>
    </w:p>
  </w:footnote>
  <w:footnote w:id="19">
    <w:p w14:paraId="28B646EB"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تهذيب الأحکام،ج7،ص457،ح1830 ـ وسائل الشيعة،ج21، الباب 2 من أبواب النفقات،ص514، ذيل ح1.</w:t>
      </w:r>
    </w:p>
  </w:footnote>
  <w:footnote w:id="20">
    <w:p w14:paraId="73CB6475"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تحف العقول،ص336 ـ وسائل الشيعة،ج21، الباب 4 من أبواب النفقات،ص515،ح1.</w:t>
      </w:r>
    </w:p>
  </w:footnote>
  <w:footnote w:id="21">
    <w:p w14:paraId="5CD9DA75"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شرائع،ج2،ص291.</w:t>
      </w:r>
    </w:p>
  </w:footnote>
  <w:footnote w:id="22">
    <w:p w14:paraId="2C9EA162"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الکافي،ج5،ص514،ح5 ـ وسائل الشيعة،ج21، الباب 6 من أبواب النفقات،ص517،ح1.</w:t>
      </w:r>
    </w:p>
  </w:footnote>
  <w:footnote w:id="23">
    <w:p w14:paraId="5CA1EF23"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تحف العقول،ص33 ـ وسائل الشيعة، المصدر السابق،ح1.</w:t>
      </w:r>
    </w:p>
  </w:footnote>
  <w:footnote w:id="24">
    <w:p w14:paraId="4B5FF6F1"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رياض المسائل،ج12،ص166.</w:t>
      </w:r>
    </w:p>
  </w:footnote>
  <w:footnote w:id="25">
    <w:p w14:paraId="3B91649A"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غاية المرام،ج3،ص181 _ جواهر الکلام،ج31،ص303.</w:t>
      </w:r>
    </w:p>
  </w:footnote>
  <w:footnote w:id="26">
    <w:p w14:paraId="53CD34BF" w14:textId="77777777" w:rsidR="00A835C9" w:rsidRDefault="00A835C9" w:rsidP="00A835C9">
      <w:pPr>
        <w:pStyle w:val="FootnoteText"/>
        <w:bidi/>
        <w:rPr>
          <w:rFonts w:cs="Abz-2 (Badr)" w:hint="cs"/>
          <w:rtl/>
          <w:lang w:bidi="fa-IR"/>
        </w:rPr>
      </w:pPr>
      <w:r>
        <w:rPr>
          <w:rStyle w:val="FootnoteReference"/>
          <w:rFonts w:cs="Abz-2 (Badr)"/>
        </w:rPr>
        <w:footnoteRef/>
      </w:r>
      <w:r>
        <w:rPr>
          <w:rFonts w:cs="Abz-2 (Badr)" w:hint="cs"/>
          <w:rtl/>
        </w:rPr>
        <w:t xml:space="preserve"> ـ المغني،ج8،ص195.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768E" w14:textId="77777777" w:rsidR="00C64E5C" w:rsidRDefault="00C64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13BB4F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دوشنبه</w:t>
                          </w:r>
                          <w:r>
                            <w:rPr>
                              <w:rFonts w:cs="B Mehr" w:hint="cs"/>
                              <w:rtl/>
                              <w:lang w:bidi="fa-IR"/>
                            </w:rPr>
                            <w:t xml:space="preserve"> </w:t>
                          </w:r>
                          <w:r>
                            <w:rPr>
                              <w:rFonts w:cs="B Mehr" w:hint="cs"/>
                              <w:rtl/>
                            </w:rPr>
                            <w:t xml:space="preserve">،   </w:t>
                          </w:r>
                          <w:r w:rsidR="00A835C9">
                            <w:rPr>
                              <w:rFonts w:cs="B Mehr" w:hint="cs"/>
                              <w:rtl/>
                              <w:lang w:bidi="fa-IR"/>
                            </w:rPr>
                            <w:t>07</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13BB4F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835C9">
                      <w:rPr>
                        <w:rFonts w:cs="B Mehr" w:hint="cs"/>
                        <w:rtl/>
                        <w:lang w:bidi="fa-IR"/>
                      </w:rPr>
                      <w:t>دوشنبه</w:t>
                    </w:r>
                    <w:r>
                      <w:rPr>
                        <w:rFonts w:cs="B Mehr" w:hint="cs"/>
                        <w:rtl/>
                        <w:lang w:bidi="fa-IR"/>
                      </w:rPr>
                      <w:t xml:space="preserve"> </w:t>
                    </w:r>
                    <w:r>
                      <w:rPr>
                        <w:rFonts w:cs="B Mehr" w:hint="cs"/>
                        <w:rtl/>
                      </w:rPr>
                      <w:t xml:space="preserve">،   </w:t>
                    </w:r>
                    <w:r w:rsidR="00A835C9">
                      <w:rPr>
                        <w:rFonts w:cs="B Mehr" w:hint="cs"/>
                        <w:rtl/>
                        <w:lang w:bidi="fa-IR"/>
                      </w:rPr>
                      <w:t>07</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148" w14:textId="77777777" w:rsidR="00C64E5C" w:rsidRDefault="00C64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21724</TotalTime>
  <Pages>1</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604</cp:revision>
  <cp:lastPrinted>2025-04-14T09:12:00Z</cp:lastPrinted>
  <dcterms:created xsi:type="dcterms:W3CDTF">2022-10-16T08:36:00Z</dcterms:created>
  <dcterms:modified xsi:type="dcterms:W3CDTF">2025-09-29T08:52:00Z</dcterms:modified>
</cp:coreProperties>
</file>