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174FA" w14:textId="77777777" w:rsidR="00527B4D" w:rsidRDefault="00527B4D" w:rsidP="00527B4D">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36161A0" w14:textId="77777777" w:rsidR="00527B4D" w:rsidRDefault="00527B4D" w:rsidP="00527B4D">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9EB29E9" w14:textId="77777777" w:rsidR="00527B4D" w:rsidRDefault="00527B4D" w:rsidP="00527B4D">
      <w:pPr>
        <w:widowControl w:val="0"/>
        <w:bidi/>
        <w:spacing w:after="0"/>
        <w:jc w:val="center"/>
        <w:rPr>
          <w:rFonts w:cs="B Mitra" w:hint="cs"/>
          <w:b/>
          <w:bCs/>
          <w:sz w:val="32"/>
          <w:szCs w:val="32"/>
          <w:rtl/>
          <w:lang w:bidi="fa-IR"/>
        </w:rPr>
      </w:pPr>
      <w:r>
        <w:rPr>
          <w:rFonts w:cs="B Mitra" w:hint="cs"/>
          <w:b/>
          <w:bCs/>
          <w:sz w:val="32"/>
          <w:szCs w:val="32"/>
          <w:rtl/>
          <w:lang w:bidi="fa-IR"/>
        </w:rPr>
        <w:t>جلسه 840</w:t>
      </w:r>
    </w:p>
    <w:p w14:paraId="4DB3DA56" w14:textId="77777777" w:rsidR="00527B4D" w:rsidRDefault="00527B4D" w:rsidP="00527B4D">
      <w:pPr>
        <w:widowControl w:val="0"/>
        <w:bidi/>
        <w:spacing w:after="0"/>
        <w:ind w:firstLine="284"/>
        <w:jc w:val="both"/>
        <w:rPr>
          <w:rFonts w:cs="Abz-2 (Badr)" w:hint="cs"/>
          <w:sz w:val="28"/>
          <w:szCs w:val="28"/>
          <w:rtl/>
          <w:lang w:bidi="fa-IR"/>
        </w:rPr>
      </w:pPr>
      <w:bookmarkStart w:id="0" w:name="_Hlk159096966"/>
    </w:p>
    <w:bookmarkEnd w:id="0"/>
    <w:p w14:paraId="07CBF77A"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ادامه بررسی آياتی که ادعای دلالت آنان بر وجوب نفقه زوجه بر زوج شده است را در اين جلسه پی می</w:t>
      </w:r>
      <w:r>
        <w:rPr>
          <w:rFonts w:cs="Abz-2 (Badr)" w:hint="cs"/>
          <w:color w:val="000000" w:themeColor="text1"/>
          <w:sz w:val="28"/>
          <w:szCs w:val="28"/>
          <w:rtl/>
          <w:lang w:bidi="fa-IR"/>
        </w:rPr>
        <w:softHyphen/>
        <w:t>گيريم.</w:t>
      </w:r>
    </w:p>
    <w:p w14:paraId="36E1BBD1" w14:textId="77777777" w:rsidR="00527B4D" w:rsidRDefault="00527B4D" w:rsidP="00527B4D">
      <w:pPr>
        <w:widowControl w:val="0"/>
        <w:bidi/>
        <w:spacing w:after="0" w:line="252" w:lineRule="auto"/>
        <w:ind w:firstLine="284"/>
        <w:jc w:val="both"/>
        <w:rPr>
          <w:rFonts w:cs="Cambria" w:hint="cs"/>
          <w:color w:val="BF8F00" w:themeColor="accent4" w:themeShade="BF"/>
          <w:sz w:val="26"/>
          <w:szCs w:val="26"/>
          <w:rtl/>
        </w:rPr>
      </w:pPr>
      <w:r>
        <w:rPr>
          <w:rFonts w:cs="Abz-2 (Badr)" w:hint="cs"/>
          <w:color w:val="00B050"/>
          <w:sz w:val="28"/>
          <w:szCs w:val="28"/>
          <w:rtl/>
          <w:lang w:bidi="fa-IR"/>
        </w:rPr>
        <w:t xml:space="preserve">5 ـ </w:t>
      </w:r>
      <w:r>
        <w:rPr>
          <w:rFonts w:cs="QuranTaha" w:hint="cs"/>
          <w:color w:val="BF8F00" w:themeColor="accent4" w:themeShade="BF"/>
          <w:sz w:val="26"/>
          <w:szCs w:val="26"/>
          <w:rtl/>
        </w:rPr>
        <w:t>«فَإِمْسَاكٌ بِمَعْرُوفٍ أَوْ تَسْرِيحٌ بِإِحْسَانٍ»</w:t>
      </w:r>
      <w:r>
        <w:rPr>
          <w:rFonts w:cs="Abz-2 (Badr)"/>
          <w:sz w:val="30"/>
          <w:szCs w:val="30"/>
          <w:vertAlign w:val="superscript"/>
          <w:rtl/>
        </w:rPr>
        <w:footnoteReference w:id="1"/>
      </w:r>
      <w:r>
        <w:rPr>
          <w:rFonts w:cs="Abz-2 (Badr)" w:hint="cs"/>
          <w:color w:val="000000" w:themeColor="text1"/>
          <w:sz w:val="28"/>
          <w:szCs w:val="28"/>
          <w:rtl/>
        </w:rPr>
        <w:t>.</w:t>
      </w:r>
    </w:p>
    <w:p w14:paraId="0CEF191F" w14:textId="77777777" w:rsidR="00527B4D" w:rsidRDefault="00527B4D" w:rsidP="00527B4D">
      <w:pPr>
        <w:widowControl w:val="0"/>
        <w:bidi/>
        <w:spacing w:after="0" w:line="252"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وجه تمسّک به آيه شريفه برای استدلال بر وجوب نفقه زوجه اين است که در آن، امر به اين شده است که در صورت ادامه زوجيت، بايد مراعات معروف در تعامل با زوجه صورت پذيرد، و دادن نفقه به زوجه از مصاديق مراعات معروف است.</w:t>
      </w:r>
    </w:p>
    <w:p w14:paraId="4BA365B8"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ولی اشکال اين مطلب اين است که مصاديق معروف يا با مراجعه به عرف تعيين می</w:t>
      </w:r>
      <w:r>
        <w:rPr>
          <w:rFonts w:cs="Abz-2 (Badr)" w:hint="cs"/>
          <w:color w:val="000000" w:themeColor="text1"/>
          <w:sz w:val="28"/>
          <w:szCs w:val="28"/>
          <w:rtl/>
          <w:lang w:bidi="fa-IR"/>
        </w:rPr>
        <w:softHyphen/>
        <w:t>شود و يا در ضمن ادله شرعی بايد به جستجوی آنها بپردازيم.</w:t>
      </w:r>
    </w:p>
    <w:p w14:paraId="56822B2B"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اگر منظور از اين که دادن نفقه از مصاديق معروف است اين باشد که عرفاً دادن نفقه زوجه بر زوج لازم است، در اين صورت حداکثر می</w:t>
      </w:r>
      <w:r>
        <w:rPr>
          <w:rFonts w:cs="Abz-2 (Badr)" w:hint="cs"/>
          <w:color w:val="000000" w:themeColor="text1"/>
          <w:sz w:val="28"/>
          <w:szCs w:val="28"/>
          <w:rtl/>
          <w:lang w:bidi="fa-IR"/>
        </w:rPr>
        <w:softHyphen/>
        <w:t>توان ادعا کرد که هرجا که چنين عرفی وجود داشته باشد، دادن نفقه بر زوج واجب خواهد بود، اما در مناطقی که چنين عرفی موجود نيست ـ مثل برخی از دول غربی ـ آيه دلالتی بر وجوب دادن نفقه بر زوج در آنها نخواهد داشت.</w:t>
      </w:r>
    </w:p>
    <w:p w14:paraId="5ABEFCF7"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اگر مراد اين است که خود آيه دلالت بر اين دارد که دادن نفقه شرعاً از مصاديق معروف است، اشکال آن اين است که آيه شريفه در صدد تبيين مصاديق معروف نيست و صرفاً دلالت بر وجوب مراعات آن مصاديق در تعامل با زوجه دارد.</w:t>
      </w:r>
    </w:p>
    <w:p w14:paraId="6BFB8298" w14:textId="77777777" w:rsidR="00527B4D" w:rsidRDefault="00527B4D" w:rsidP="00527B4D">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lastRenderedPageBreak/>
        <w:t>اما در خصوص تفسير اين آيه شريفه نيز روايتی در تفسير عياشی وارد شده است و آن خبر أبی القاسم الفارسی است که می</w:t>
      </w:r>
      <w:r>
        <w:rPr>
          <w:rFonts w:cs="Abz-2 (Badr)" w:hint="cs"/>
          <w:color w:val="000000" w:themeColor="text1"/>
          <w:sz w:val="28"/>
          <w:szCs w:val="28"/>
          <w:rtl/>
          <w:lang w:bidi="fa-IR"/>
        </w:rPr>
        <w:softHyphen/>
        <w:t xml:space="preserve">گويد: </w:t>
      </w:r>
      <w:r>
        <w:rPr>
          <w:rFonts w:ascii="IRBadr" w:hAnsi="IRBadr" w:cs="Abz-2 (Badr)" w:hint="cs"/>
          <w:color w:val="70AD47" w:themeColor="accent6"/>
          <w:kern w:val="2"/>
          <w:sz w:val="28"/>
          <w:szCs w:val="28"/>
          <w:rtl/>
          <w:lang w:bidi="fa-IR"/>
          <w14:ligatures w14:val="standardContextual"/>
        </w:rPr>
        <w:t xml:space="preserve">«قلت للرضا(ع): جعلت فداك! إنّ الله يقول في كتابه: </w:t>
      </w:r>
      <w:r>
        <w:rPr>
          <w:rFonts w:cs="QuranTaha" w:hint="cs"/>
          <w:color w:val="BF8F00" w:themeColor="accent4" w:themeShade="BF"/>
          <w:sz w:val="26"/>
          <w:szCs w:val="26"/>
          <w:rtl/>
        </w:rPr>
        <w:t>«فَإِمْسَاكٌ بِمَعْرُوفٍ أَوْ تَسْرِيحٌ بِإِحْسَانٍ»</w:t>
      </w:r>
      <w:r>
        <w:rPr>
          <w:rFonts w:ascii="IRBadr" w:hAnsi="IRBadr" w:cs="Abz-2 (Badr)" w:hint="cs"/>
          <w:color w:val="70AD47" w:themeColor="accent6"/>
          <w:kern w:val="2"/>
          <w:sz w:val="28"/>
          <w:szCs w:val="28"/>
          <w:rtl/>
          <w:lang w:bidi="fa-IR"/>
          <w14:ligatures w14:val="standardContextual"/>
        </w:rPr>
        <w:t>، وما يعني بذلك؟ قال: أمّا الإمساك بالمعروف فكفّ الأذى وإجباء النفقة، وأمّا التسريح بإحسان فالطلاق على ما نزل به الكتاب.»</w:t>
      </w:r>
      <w:r>
        <w:rPr>
          <w:rFonts w:cs="Abz-2 (Badr)"/>
          <w:sz w:val="30"/>
          <w:szCs w:val="30"/>
          <w:vertAlign w:val="superscript"/>
          <w:rtl/>
        </w:rPr>
        <w:footnoteReference w:id="2"/>
      </w:r>
    </w:p>
    <w:p w14:paraId="2ACDEC85"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بر اساس اين روايت می</w:t>
      </w:r>
      <w:r>
        <w:rPr>
          <w:rFonts w:cs="Abz-2 (Badr)" w:hint="cs"/>
          <w:color w:val="000000" w:themeColor="text1"/>
          <w:sz w:val="28"/>
          <w:szCs w:val="28"/>
          <w:rtl/>
          <w:lang w:bidi="fa-IR"/>
        </w:rPr>
        <w:softHyphen/>
        <w:t>توان ادعا کرد که يکی از مصاديق مراعات معروف در تعامل با زوجه، دادن نفقه به وی توسط زوج است، اما اين مطلب مستفاد از روايت است نه از آيه شريفه، هرچند روايت مذکور از حيث سندی دارای اشکال است.</w:t>
      </w:r>
    </w:p>
    <w:p w14:paraId="38F761FD"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bookmarkStart w:id="1" w:name="_Hlk209948707"/>
      <w:r>
        <w:rPr>
          <w:rFonts w:cs="Abz-2 (Badr)" w:hint="cs"/>
          <w:color w:val="000000" w:themeColor="text1"/>
          <w:sz w:val="28"/>
          <w:szCs w:val="28"/>
          <w:rtl/>
          <w:lang w:bidi="fa-IR"/>
        </w:rPr>
        <w:t>اما در ميان اخبار، می</w:t>
      </w:r>
      <w:r>
        <w:rPr>
          <w:rFonts w:cs="Abz-2 (Badr)" w:hint="cs"/>
          <w:color w:val="000000" w:themeColor="text1"/>
          <w:sz w:val="28"/>
          <w:szCs w:val="28"/>
          <w:rtl/>
          <w:lang w:bidi="fa-IR"/>
        </w:rPr>
        <w:softHyphen/>
        <w:t>توان به روايات ذيل برای وجوب نفقه زوجه بر زوج تمسّک نمود:</w:t>
      </w:r>
    </w:p>
    <w:p w14:paraId="0576FF2E"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1 ـ حسنة </w:t>
      </w:r>
      <w:r>
        <w:rPr>
          <w:rFonts w:cs="Abz-2 (Badr)" w:hint="cs"/>
          <w:color w:val="000000" w:themeColor="text1"/>
          <w:sz w:val="28"/>
          <w:szCs w:val="28"/>
          <w:rtl/>
          <w:lang w:bidi="ar"/>
        </w:rPr>
        <w:t xml:space="preserve">أبي بصير، قال: </w:t>
      </w:r>
      <w:r>
        <w:rPr>
          <w:rFonts w:ascii="IRBadr" w:hAnsi="IRBadr" w:cs="Abz-2 (Badr)" w:hint="cs"/>
          <w:color w:val="70AD47" w:themeColor="accent6"/>
          <w:kern w:val="2"/>
          <w:sz w:val="28"/>
          <w:szCs w:val="28"/>
          <w:rtl/>
          <w:lang w:bidi="fa-IR"/>
          <w14:ligatures w14:val="standardContextual"/>
        </w:rPr>
        <w:t>«سمعت أبا جعفر(ع) يقول: من كانت عنده امرأة فلم يَكسُها ما يواري عورتها ويطعمها ما يقيم صلبها، كان حقّاً على الإمام أن يفرّق بينهما.»</w:t>
      </w:r>
      <w:r>
        <w:rPr>
          <w:rFonts w:cs="Abz-2 (Badr)"/>
          <w:sz w:val="30"/>
          <w:szCs w:val="30"/>
          <w:vertAlign w:val="superscript"/>
          <w:rtl/>
        </w:rPr>
        <w:footnoteReference w:id="3"/>
      </w:r>
    </w:p>
    <w:p w14:paraId="41283A23" w14:textId="77777777" w:rsidR="00527B4D" w:rsidRDefault="00527B4D" w:rsidP="00527B4D">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2 ـ ما رواه الصدوق في الموثّق: </w:t>
      </w:r>
      <w:r>
        <w:rPr>
          <w:rFonts w:ascii="IRBadr" w:hAnsi="IRBadr" w:cs="Abz-2 (Badr)" w:hint="cs"/>
          <w:color w:val="70AD47" w:themeColor="accent6"/>
          <w:kern w:val="2"/>
          <w:sz w:val="28"/>
          <w:szCs w:val="28"/>
          <w:rtl/>
          <w:lang w:bidi="fa-IR"/>
          <w14:ligatures w14:val="standardContextual"/>
        </w:rPr>
        <w:t>«سأل إسحاق بن عمّار أبا عبدالله(ع) عن حقّ المرأة على زوجها، قال: يشبع بطنها ويكسو جثّتها وإن جهلت غفر لها...»</w:t>
      </w:r>
      <w:r>
        <w:rPr>
          <w:rFonts w:cs="Abz-2 (Badr)"/>
          <w:sz w:val="30"/>
          <w:szCs w:val="30"/>
          <w:vertAlign w:val="superscript"/>
          <w:rtl/>
        </w:rPr>
        <w:footnoteReference w:id="4"/>
      </w:r>
    </w:p>
    <w:p w14:paraId="3F4B33EC" w14:textId="77777777" w:rsidR="00527B4D" w:rsidRDefault="00527B4D" w:rsidP="00527B4D">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3 ـ ما رواه الکليني علي بن إبراهيم عن أبيه عن ابن أبي عمير عن جميل بن درّاج، </w:t>
      </w:r>
      <w:r>
        <w:rPr>
          <w:rFonts w:cs="Abz-2 (Badr)" w:hint="cs"/>
          <w:color w:val="000000" w:themeColor="text1"/>
          <w:sz w:val="28"/>
          <w:szCs w:val="28"/>
          <w:rtl/>
          <w:lang w:bidi="ar"/>
        </w:rPr>
        <w:t xml:space="preserve">قال: </w:t>
      </w:r>
      <w:r>
        <w:rPr>
          <w:rFonts w:ascii="IRBadr" w:hAnsi="IRBadr" w:cs="Abz-2 (Badr)" w:hint="cs"/>
          <w:color w:val="70AD47" w:themeColor="accent6"/>
          <w:kern w:val="2"/>
          <w:sz w:val="28"/>
          <w:szCs w:val="28"/>
          <w:rtl/>
          <w:lang w:bidi="fa-IR"/>
          <w14:ligatures w14:val="standardContextual"/>
        </w:rPr>
        <w:t>«لا يجبر الرجل إلا على نفقة الأبوين والولد. قال ابن‌ أبي عمير: قلت لجميل: والمرأة؟ قال: قد روي عن عنبسة عن أبي عبدالله(ع)، قال: إذا كساها ما يواري عورتها ويطعمها ما يقيم صلبها أقامت معه وإلا طلّقها.»</w:t>
      </w:r>
      <w:r>
        <w:rPr>
          <w:rFonts w:cs="Abz-2 (Badr)"/>
          <w:sz w:val="30"/>
          <w:szCs w:val="30"/>
          <w:vertAlign w:val="superscript"/>
          <w:rtl/>
        </w:rPr>
        <w:footnoteReference w:id="5"/>
      </w:r>
    </w:p>
    <w:p w14:paraId="4313AB18"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سند اين روايت حسن است و ظاهر اين است که قسمت اول آن کلام خود جميل بن دراج است و از معصوم(ع) نقل نشده است. اما ذيل آن که از امام(ع) نقل شده است، دارای اعتبار نيست، زيرا مراد از عنبسه، عنبسة بن مصعب است </w:t>
      </w:r>
      <w:r>
        <w:rPr>
          <w:rFonts w:cs="Abz-2 (Badr)" w:hint="cs"/>
          <w:color w:val="000000" w:themeColor="text1"/>
          <w:sz w:val="28"/>
          <w:szCs w:val="28"/>
          <w:rtl/>
          <w:lang w:bidi="fa-IR"/>
        </w:rPr>
        <w:lastRenderedPageBreak/>
        <w:t>که ناووسی واقفی بوده و فاقد توثيق است. مضافاً بر اين که ظاهر روايت اين است که نقل جميل از عنبسه، بلا واسطه نبوده است و در نتيجه نقل مذکور، مرسل خواهد بود.</w:t>
      </w:r>
    </w:p>
    <w:p w14:paraId="649780B2"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صاحب وسائل در آخر روايت مطلب ديگری هم نقل کرده است که در کافی موجود نيست، اما در نقل شيخ که در خبر بعدی خواهد آمد، وجود دارد.</w:t>
      </w:r>
    </w:p>
    <w:p w14:paraId="233129B9" w14:textId="77777777" w:rsidR="00527B4D" w:rsidRDefault="00527B4D" w:rsidP="00527B4D">
      <w:pPr>
        <w:widowControl w:val="0"/>
        <w:bidi/>
        <w:spacing w:after="0" w:line="252" w:lineRule="auto"/>
        <w:ind w:firstLine="284"/>
        <w:jc w:val="both"/>
        <w:rPr>
          <w:rFonts w:cs="Abz-2 (Badr)"/>
          <w:color w:val="000000" w:themeColor="text1"/>
          <w:sz w:val="28"/>
          <w:szCs w:val="28"/>
          <w:lang w:bidi="fa-IR"/>
        </w:rPr>
      </w:pPr>
      <w:r>
        <w:rPr>
          <w:rFonts w:cs="Abz-2 (Badr)" w:hint="cs"/>
          <w:color w:val="000000" w:themeColor="text1"/>
          <w:sz w:val="28"/>
          <w:szCs w:val="28"/>
          <w:rtl/>
          <w:lang w:bidi="fa-IR"/>
        </w:rPr>
        <w:t>اما اين که چرا جميل با وجود اين که در ذيل روايت از عنبسه نقل کرده است که طعام و کسوه زوجه بر زوج واجب است، در صدر آن حکم به امکان اجبار زوج بر نفقه زوجه نکرده است، شايد وجه آن اين باشد که آنچه که عنبسه نقل کرده، در خصوص طعام و کسوه است و نفقه اعم از آن است؛ و يا اين که روايت عنبسه در نزد جميل معتبر نبوده و به آن فتوا نمی</w:t>
      </w:r>
      <w:r>
        <w:rPr>
          <w:rFonts w:cs="Abz-2 (Badr)" w:hint="cs"/>
          <w:color w:val="000000" w:themeColor="text1"/>
          <w:sz w:val="28"/>
          <w:szCs w:val="28"/>
          <w:rtl/>
          <w:lang w:bidi="fa-IR"/>
        </w:rPr>
        <w:softHyphen/>
        <w:t>داده است، هرچند اين مطلب بعيد است، چون لازمه آن عدم وجوب طعام و کسوه زوجه بر زوج در نزد جميل است.</w:t>
      </w:r>
      <w:bookmarkStart w:id="2" w:name="_Hlk209798859"/>
      <w:bookmarkEnd w:id="1"/>
    </w:p>
    <w:p w14:paraId="301A57C1"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بقيه اخبار باب را جلسه آينده مورد بررسی قرار می</w:t>
      </w:r>
      <w:r>
        <w:rPr>
          <w:rFonts w:cs="Abz-2 (Badr)" w:hint="cs"/>
          <w:color w:val="000000" w:themeColor="text1"/>
          <w:sz w:val="28"/>
          <w:szCs w:val="28"/>
          <w:rtl/>
          <w:lang w:bidi="fa-IR"/>
        </w:rPr>
        <w:softHyphen/>
        <w:t>دهيم ان شاء الله.</w:t>
      </w:r>
    </w:p>
    <w:p w14:paraId="7DA54DC4" w14:textId="77777777" w:rsidR="00527B4D" w:rsidRDefault="00527B4D" w:rsidP="00527B4D">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49A5636B" w14:textId="77777777" w:rsidR="00527B4D" w:rsidRDefault="00527B4D" w:rsidP="00527B4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lastRenderedPageBreak/>
        <w:t>نتابع في هذه الجلسة استكمال البحث في الآيات التي ادّعي دلالتها على وجوب نفقة الزوجة على الزوج.</w:t>
      </w:r>
    </w:p>
    <w:p w14:paraId="68E3EC97" w14:textId="77777777" w:rsidR="00527B4D" w:rsidRDefault="00527B4D" w:rsidP="00527B4D">
      <w:pPr>
        <w:widowControl w:val="0"/>
        <w:bidi/>
        <w:spacing w:after="0" w:line="252" w:lineRule="auto"/>
        <w:ind w:firstLine="284"/>
        <w:jc w:val="both"/>
        <w:rPr>
          <w:rFonts w:cs="Cambria" w:hint="cs"/>
          <w:color w:val="BF8F00" w:themeColor="accent4" w:themeShade="BF"/>
          <w:sz w:val="26"/>
          <w:szCs w:val="26"/>
          <w:rtl/>
        </w:rPr>
      </w:pPr>
      <w:r>
        <w:rPr>
          <w:rFonts w:cs="Abz-2 (Badr)" w:hint="cs"/>
          <w:color w:val="00B050"/>
          <w:sz w:val="28"/>
          <w:szCs w:val="28"/>
          <w:rtl/>
          <w:lang w:bidi="fa-IR"/>
        </w:rPr>
        <w:t xml:space="preserve">5 ـ </w:t>
      </w:r>
      <w:r>
        <w:rPr>
          <w:rFonts w:cs="QuranTaha" w:hint="cs"/>
          <w:color w:val="BF8F00" w:themeColor="accent4" w:themeShade="BF"/>
          <w:sz w:val="26"/>
          <w:szCs w:val="26"/>
          <w:rtl/>
        </w:rPr>
        <w:t>«فَإِمْسَاكٌ بِمَعْرُوفٍ أَوْ تَسْرِيحٌ بِإِحْسَانٍ»</w:t>
      </w:r>
      <w:r>
        <w:rPr>
          <w:rFonts w:cs="Abz-2 (Badr)"/>
          <w:sz w:val="30"/>
          <w:szCs w:val="30"/>
          <w:vertAlign w:val="superscript"/>
          <w:rtl/>
        </w:rPr>
        <w:footnoteReference w:id="6"/>
      </w:r>
      <w:r>
        <w:rPr>
          <w:rFonts w:cs="Abz-2 (Badr)" w:hint="cs"/>
          <w:color w:val="000000" w:themeColor="text1"/>
          <w:sz w:val="28"/>
          <w:szCs w:val="28"/>
          <w:rtl/>
        </w:rPr>
        <w:t>.</w:t>
      </w:r>
    </w:p>
    <w:p w14:paraId="0AF84C34" w14:textId="77777777" w:rsidR="00527B4D" w:rsidRDefault="00527B4D" w:rsidP="00527B4D">
      <w:pPr>
        <w:widowControl w:val="0"/>
        <w:bidi/>
        <w:spacing w:after="0" w:line="252" w:lineRule="auto"/>
        <w:ind w:firstLine="284"/>
        <w:jc w:val="both"/>
        <w:rPr>
          <w:rFonts w:cs="Abz-2 (Badr)"/>
          <w:color w:val="000000" w:themeColor="text1"/>
          <w:sz w:val="28"/>
          <w:szCs w:val="28"/>
          <w:rtl/>
        </w:rPr>
      </w:pPr>
      <w:r>
        <w:rPr>
          <w:rFonts w:cs="Abz-2 (Badr)" w:hint="cs"/>
          <w:color w:val="000000" w:themeColor="text1"/>
          <w:sz w:val="28"/>
          <w:szCs w:val="28"/>
          <w:rtl/>
        </w:rPr>
        <w:t>وجه الاستدلال بالآية الشريفة على وجوب نفقة الزوجة أنّها تضمّنت الأمر بمراعاة المعروف في حال استمرار الزوجيّة، ومن المعلوم أنّ الإنفاق على الزوجة من أبرز مصاديق مراعاة المعروف.</w:t>
      </w:r>
    </w:p>
    <w:p w14:paraId="72901737" w14:textId="77777777" w:rsidR="00527B4D" w:rsidRDefault="00527B4D" w:rsidP="00527B4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لكن يورد على هذا الوجه بأنّ مصاديق المعروف إمّا أن تعيّن بالرجوع إلى العرف، وإمّا أن يبحث عنها في الأدلّة الشرعيّة.</w:t>
      </w:r>
    </w:p>
    <w:p w14:paraId="1CD79F41" w14:textId="77777777" w:rsidR="00527B4D" w:rsidRDefault="00527B4D" w:rsidP="00527B4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فإن أُريد أنّ الإنفاق على الزوجة من مصاديق المعروف عرفاً، لزم أن يقال: إنّ وجوبه يثبت حيثما كان هناك عرف يوجب على الزوج الإنفاق، وأمّا في المناطق التي لا وجود لمثل هذا العرف ـ كما في بعض الدول الغربيّة ـ فلا دلالة للآية على وجوب النفقة فيها.</w:t>
      </w:r>
    </w:p>
    <w:p w14:paraId="17054746" w14:textId="77777777" w:rsidR="00527B4D" w:rsidRDefault="00527B4D" w:rsidP="00527B4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وإن أُريد أنّ نفس الآية تدلّ على كون الإنفاق على الزوجة من مصاديق المعروف شرعاً، فالإشكال أنّ الآية ليست في مقام بيان مصاديق المعروف، وإنّما تدلّ على وجوب مراعاة ما هو معروف في التعامل مع الزوجة فحسب.</w:t>
      </w:r>
    </w:p>
    <w:p w14:paraId="408C06EC" w14:textId="77777777" w:rsidR="00527B4D" w:rsidRDefault="00527B4D" w:rsidP="00527B4D">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rPr>
        <w:t xml:space="preserve">إلّا أنّه قد وردت رواية في تفسير العيّاشي في خصوص تفسير هذه الآية الشريفة وهي خبر أبي القاسم الفارسي، قال: </w:t>
      </w:r>
      <w:r>
        <w:rPr>
          <w:rFonts w:ascii="IRBadr" w:hAnsi="IRBadr" w:cs="Abz-2 (Badr)" w:hint="cs"/>
          <w:color w:val="70AD47" w:themeColor="accent6"/>
          <w:kern w:val="2"/>
          <w:sz w:val="28"/>
          <w:szCs w:val="28"/>
          <w:rtl/>
          <w:lang w:bidi="fa-IR"/>
          <w14:ligatures w14:val="standardContextual"/>
        </w:rPr>
        <w:t xml:space="preserve">«قلت للرضا(ع): جعلت فداك! إنّ الله يقول في كتابه: </w:t>
      </w:r>
      <w:r>
        <w:rPr>
          <w:rFonts w:cs="QuranTaha" w:hint="cs"/>
          <w:color w:val="BF8F00" w:themeColor="accent4" w:themeShade="BF"/>
          <w:sz w:val="26"/>
          <w:szCs w:val="26"/>
          <w:rtl/>
        </w:rPr>
        <w:t>«فَإِمْسَاكٌ بِمَعْرُوفٍ أَوْ تَسْرِيحٌ بِإِحْسَانٍ»</w:t>
      </w:r>
      <w:r>
        <w:rPr>
          <w:rFonts w:ascii="IRBadr" w:hAnsi="IRBadr" w:cs="Abz-2 (Badr)" w:hint="cs"/>
          <w:color w:val="70AD47" w:themeColor="accent6"/>
          <w:kern w:val="2"/>
          <w:sz w:val="28"/>
          <w:szCs w:val="28"/>
          <w:rtl/>
          <w:lang w:bidi="fa-IR"/>
          <w14:ligatures w14:val="standardContextual"/>
        </w:rPr>
        <w:t>، وما يعني بذلك؟ قال: أمّا الإمساك بالمعروف فكفّ الأذى وإجباء النفقة، وأمّا التسريح بإحسان فالطلاق على ما نزل به الكتاب.»</w:t>
      </w:r>
      <w:r>
        <w:rPr>
          <w:rFonts w:cs="Abz-2 (Badr)"/>
          <w:sz w:val="30"/>
          <w:szCs w:val="30"/>
          <w:vertAlign w:val="superscript"/>
          <w:rtl/>
        </w:rPr>
        <w:footnoteReference w:id="7"/>
      </w:r>
    </w:p>
    <w:p w14:paraId="56F251F1" w14:textId="77777777" w:rsidR="00527B4D" w:rsidRDefault="00527B4D" w:rsidP="00527B4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وبناءً على هذه الرواية يمكن القول بأنّ من مصاديق مراعاة المعروف في التعامل مع الزوجة إنفاق الزوج عليها، غير أنّ هذا الحكم مستفاد من الرواية لا من نفس الآية الشريفة، والرواية المزبورة تعتريها جهة ضعف سندي.</w:t>
      </w:r>
    </w:p>
    <w:p w14:paraId="293E6BF6" w14:textId="77777777" w:rsidR="00527B4D" w:rsidRDefault="00527B4D" w:rsidP="00527B4D">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وأمّا في الأخبار فيمكن الاستناد إلى الروايات الآتية لإثبات وجوب نفقة الزوجة على الزوج:</w:t>
      </w:r>
    </w:p>
    <w:p w14:paraId="5AC074F0" w14:textId="77777777" w:rsidR="00527B4D" w:rsidRDefault="00527B4D" w:rsidP="00527B4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1 ـ حسنة </w:t>
      </w:r>
      <w:r>
        <w:rPr>
          <w:rFonts w:cs="Abz-2 (Badr)" w:hint="cs"/>
          <w:color w:val="000000" w:themeColor="text1"/>
          <w:sz w:val="28"/>
          <w:szCs w:val="28"/>
          <w:rtl/>
          <w:lang w:bidi="ar"/>
        </w:rPr>
        <w:t xml:space="preserve">أبي بصير، قال: </w:t>
      </w:r>
      <w:r>
        <w:rPr>
          <w:rFonts w:ascii="IRBadr" w:hAnsi="IRBadr" w:cs="Abz-2 (Badr)" w:hint="cs"/>
          <w:color w:val="70AD47" w:themeColor="accent6"/>
          <w:kern w:val="2"/>
          <w:sz w:val="28"/>
          <w:szCs w:val="28"/>
          <w:rtl/>
          <w:lang w:bidi="fa-IR"/>
          <w14:ligatures w14:val="standardContextual"/>
        </w:rPr>
        <w:t xml:space="preserve">«سمعت أبا جعفر(ع) يقول: من كانت عنده امرأة فلم يَكسُها ما يواري عورتها ويطعمها ما </w:t>
      </w:r>
      <w:r>
        <w:rPr>
          <w:rFonts w:ascii="IRBadr" w:hAnsi="IRBadr" w:cs="Abz-2 (Badr)" w:hint="cs"/>
          <w:color w:val="70AD47" w:themeColor="accent6"/>
          <w:kern w:val="2"/>
          <w:sz w:val="28"/>
          <w:szCs w:val="28"/>
          <w:rtl/>
          <w:lang w:bidi="fa-IR"/>
          <w14:ligatures w14:val="standardContextual"/>
        </w:rPr>
        <w:lastRenderedPageBreak/>
        <w:t>يقيم صلبها، كان حقّاً على الإمام أن يفرّق بينهما.»</w:t>
      </w:r>
      <w:r>
        <w:rPr>
          <w:rFonts w:cs="Abz-2 (Badr)"/>
          <w:sz w:val="30"/>
          <w:szCs w:val="30"/>
          <w:vertAlign w:val="superscript"/>
          <w:rtl/>
        </w:rPr>
        <w:footnoteReference w:id="8"/>
      </w:r>
    </w:p>
    <w:p w14:paraId="2452FA59" w14:textId="77777777" w:rsidR="00527B4D" w:rsidRDefault="00527B4D" w:rsidP="00527B4D">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2 ـ ما رواه الصدوق في الموثّق: </w:t>
      </w:r>
      <w:r>
        <w:rPr>
          <w:rFonts w:ascii="IRBadr" w:hAnsi="IRBadr" w:cs="Abz-2 (Badr)" w:hint="cs"/>
          <w:color w:val="70AD47" w:themeColor="accent6"/>
          <w:kern w:val="2"/>
          <w:sz w:val="28"/>
          <w:szCs w:val="28"/>
          <w:rtl/>
          <w:lang w:bidi="fa-IR"/>
          <w14:ligatures w14:val="standardContextual"/>
        </w:rPr>
        <w:t>«سأل إسحاق بن عمّار أبا عبدالله(ع) عن حقّ المرأة على زوجها، قال: يشبع بطنها ويكسو جثّتها وإن جهلت غفر لها...»</w:t>
      </w:r>
      <w:r>
        <w:rPr>
          <w:rFonts w:cs="Abz-2 (Badr)"/>
          <w:sz w:val="30"/>
          <w:szCs w:val="30"/>
          <w:vertAlign w:val="superscript"/>
          <w:rtl/>
        </w:rPr>
        <w:footnoteReference w:id="9"/>
      </w:r>
    </w:p>
    <w:p w14:paraId="1E5AF609" w14:textId="77777777" w:rsidR="00527B4D" w:rsidRDefault="00527B4D" w:rsidP="00527B4D">
      <w:pPr>
        <w:widowControl w:val="0"/>
        <w:bidi/>
        <w:spacing w:after="0" w:line="252" w:lineRule="auto"/>
        <w:ind w:firstLine="284"/>
        <w:jc w:val="both"/>
        <w:rPr>
          <w:rFonts w:ascii="IRBadr" w:hAnsi="IRBadr" w:cs="Abz-2 (Badr)" w:hint="cs"/>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3 ـ ما رواه الکليني عن علي بن إبراهيم عن أبيه عن ابن أبي عمير عن جميل بن درّاج، </w:t>
      </w:r>
      <w:r>
        <w:rPr>
          <w:rFonts w:cs="Abz-2 (Badr)" w:hint="cs"/>
          <w:color w:val="000000" w:themeColor="text1"/>
          <w:sz w:val="28"/>
          <w:szCs w:val="28"/>
          <w:rtl/>
          <w:lang w:bidi="ar"/>
        </w:rPr>
        <w:t xml:space="preserve">قال: </w:t>
      </w:r>
      <w:r>
        <w:rPr>
          <w:rFonts w:ascii="IRBadr" w:hAnsi="IRBadr" w:cs="Abz-2 (Badr)" w:hint="cs"/>
          <w:color w:val="70AD47" w:themeColor="accent6"/>
          <w:kern w:val="2"/>
          <w:sz w:val="28"/>
          <w:szCs w:val="28"/>
          <w:rtl/>
          <w:lang w:bidi="fa-IR"/>
          <w14:ligatures w14:val="standardContextual"/>
        </w:rPr>
        <w:t>«لا يجبر الرجل إلا على نفقة الأبوين والولد. قال ابن‌ أبي عمير: قلت لجميل: والمرأة؟ قال: قد روي عن عنبسة عن أبي عبدالله(ع)، قال: إذا كساها ما يواري عورتها ويطعمها ما يقيم صلبها أقامت معه وإلا طلّقها.»</w:t>
      </w:r>
      <w:r>
        <w:rPr>
          <w:rFonts w:cs="Abz-2 (Badr)"/>
          <w:sz w:val="30"/>
          <w:szCs w:val="30"/>
          <w:vertAlign w:val="superscript"/>
          <w:rtl/>
        </w:rPr>
        <w:footnoteReference w:id="10"/>
      </w:r>
    </w:p>
    <w:p w14:paraId="229D789C" w14:textId="77777777" w:rsidR="00527B4D" w:rsidRDefault="00527B4D" w:rsidP="00527B4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سند هذه الرواية حسن، وظاهرها أنّ صدرها من كلام جميل بن درّاج نفسه وليس منقولاً عن المعصوم(ع). وأمّا ذيلها المنسوب إلى الإمام(ع) فغير معتبر؛ لأنّ المراد بعنبسة هو عنبسة بن مصعب، وهو ناووسي واقفي لم يثبت توثيقه. مضافاً إلى أنّ الظاهر أنّ نقل جميل عن عنبسة لم يكن بلا واسطة، فيكون النقل مرسلاً</w:t>
      </w:r>
      <w:r>
        <w:rPr>
          <w:rFonts w:cs="Abz-2 (Badr)" w:hint="cs"/>
          <w:color w:val="000000" w:themeColor="text1"/>
          <w:sz w:val="28"/>
          <w:szCs w:val="28"/>
          <w:rtl/>
          <w:lang w:bidi="fa-IR"/>
        </w:rPr>
        <w:t>.</w:t>
      </w:r>
    </w:p>
    <w:p w14:paraId="0E28BB23" w14:textId="77777777" w:rsidR="00527B4D" w:rsidRDefault="00527B4D" w:rsidP="00527B4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وقد نقل صاحب الوسائل في آخر الرواية زيادة ليست موجودة في الكافي، إلا أنّها موجودة في نقل الشيخ كما سيأتي في الخبر التالي</w:t>
      </w:r>
      <w:r>
        <w:rPr>
          <w:rFonts w:cs="Abz-2 (Badr)" w:hint="cs"/>
          <w:color w:val="000000" w:themeColor="text1"/>
          <w:sz w:val="28"/>
          <w:szCs w:val="28"/>
          <w:rtl/>
          <w:lang w:bidi="fa-IR"/>
        </w:rPr>
        <w:t>.</w:t>
      </w:r>
    </w:p>
    <w:p w14:paraId="4B9FE59C" w14:textId="77777777" w:rsidR="00527B4D" w:rsidRDefault="00527B4D" w:rsidP="00527B4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عدم حكم جميل في صدر الرواية بجواز إجبار الزوج على نفقة الزوجة مع أنّه في ذيلها نقل عن عنبسة وجوب الطعام والكسوة على الزوج، فلعلّ وجهه أنّ ما نقله عنبسة مختصّ بالطعام والكسوة، بينما النفقة أعمّ منهما؛ أو أنّ رواية عنبسة لم تكن معتبرة عند جميل، فلم يفت بمضمونها، وإن كان هذا الاحتمال بعيداً، إذ يلزم منه عدم وجوب الطعام والكسوة على الزوج عند جميل.</w:t>
      </w:r>
    </w:p>
    <w:p w14:paraId="50387ED7" w14:textId="77777777" w:rsidR="00527B4D" w:rsidRDefault="00527B4D" w:rsidP="00527B4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وأمّا بقيّة أخبار الباب فسيأتي بحثها في الجلسة القادمة إن شاء الله تعالى</w:t>
      </w:r>
      <w:r>
        <w:rPr>
          <w:rFonts w:cs="Abz-2 (Badr)" w:hint="cs"/>
          <w:color w:val="000000" w:themeColor="text1"/>
          <w:sz w:val="28"/>
          <w:szCs w:val="28"/>
          <w:rtl/>
          <w:lang w:bidi="fa-IR"/>
        </w:rPr>
        <w:t>.</w:t>
      </w:r>
    </w:p>
    <w:bookmarkEnd w:id="2"/>
    <w:p w14:paraId="2266F0E6" w14:textId="77777777" w:rsidR="00527B4D" w:rsidRDefault="00527B4D" w:rsidP="00527B4D">
      <w:pPr>
        <w:widowControl w:val="0"/>
        <w:bidi/>
        <w:spacing w:after="0" w:line="244" w:lineRule="auto"/>
        <w:ind w:firstLine="284"/>
        <w:jc w:val="both"/>
        <w:rPr>
          <w:rFonts w:cs="Abz-2 (Badr)" w:hint="cs"/>
          <w:color w:val="000000" w:themeColor="text1"/>
          <w:sz w:val="28"/>
          <w:szCs w:val="28"/>
          <w:rtl/>
        </w:rPr>
      </w:pPr>
    </w:p>
    <w:p w14:paraId="2AD04477" w14:textId="7D63A4A4" w:rsidR="00B706A3" w:rsidRPr="00527B4D" w:rsidRDefault="00B706A3" w:rsidP="00527B4D">
      <w:pPr>
        <w:rPr>
          <w:rtl/>
        </w:rPr>
      </w:pPr>
    </w:p>
    <w:sectPr w:rsidR="00B706A3" w:rsidRPr="00527B4D"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FF8B9" w14:textId="77777777" w:rsidR="00BF1347" w:rsidRDefault="00BF1347" w:rsidP="00F71127">
      <w:pPr>
        <w:spacing w:after="0" w:line="240" w:lineRule="auto"/>
      </w:pPr>
      <w:r>
        <w:separator/>
      </w:r>
    </w:p>
  </w:endnote>
  <w:endnote w:type="continuationSeparator" w:id="0">
    <w:p w14:paraId="59247376" w14:textId="77777777" w:rsidR="00BF1347" w:rsidRDefault="00BF134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49C1" w14:textId="77777777" w:rsidR="00C64E5C" w:rsidRDefault="00C64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24F3" w14:textId="77777777" w:rsidR="00C64E5C" w:rsidRDefault="00C6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583CC" w14:textId="77777777" w:rsidR="00BF1347" w:rsidRDefault="00BF1347" w:rsidP="00EE25C0">
      <w:pPr>
        <w:bidi/>
        <w:spacing w:after="0" w:line="240" w:lineRule="auto"/>
      </w:pPr>
      <w:r>
        <w:separator/>
      </w:r>
    </w:p>
  </w:footnote>
  <w:footnote w:type="continuationSeparator" w:id="0">
    <w:p w14:paraId="4FA99055" w14:textId="77777777" w:rsidR="00BF1347" w:rsidRDefault="00BF1347" w:rsidP="00F71127">
      <w:pPr>
        <w:bidi/>
        <w:spacing w:after="0" w:line="240" w:lineRule="auto"/>
      </w:pPr>
      <w:r>
        <w:continuationSeparator/>
      </w:r>
    </w:p>
  </w:footnote>
  <w:footnote w:id="1">
    <w:p w14:paraId="62346585"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البقرة(2):229.</w:t>
      </w:r>
    </w:p>
  </w:footnote>
  <w:footnote w:id="2">
    <w:p w14:paraId="0F27817A"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تفسير عيّاشی،ج1،ص117،ح365 ـ وسائل الشيعة،ج21،ص512 و 513، الباب 1 من أبواب النفقات،ح13.</w:t>
      </w:r>
    </w:p>
  </w:footnote>
  <w:footnote w:id="3">
    <w:p w14:paraId="799ED6D8"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من لا يحضره الفقيه،ج3،ص441،ح4529 ـ وسائل الشيعة، همان،ص509،ح2.</w:t>
      </w:r>
    </w:p>
  </w:footnote>
  <w:footnote w:id="4">
    <w:p w14:paraId="5DA51F24"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من لا يحضره الفقيه،ج3،ص440،ح4526 ـ وسائل الشيعة، همان،ص510،ح3.</w:t>
      </w:r>
    </w:p>
  </w:footnote>
  <w:footnote w:id="5">
    <w:p w14:paraId="22A89FE4"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الکافي،ج5،ص512،ح8 ـ وسائل الشيعة، همان،ح4.</w:t>
      </w:r>
    </w:p>
  </w:footnote>
  <w:footnote w:id="6">
    <w:p w14:paraId="3A0AB250"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البقرة(2):229.</w:t>
      </w:r>
    </w:p>
  </w:footnote>
  <w:footnote w:id="7">
    <w:p w14:paraId="476781A7"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تفسير العيّاشی،ج1،ص117،ح365 ـ وسائل الشيعة، المصدر السابق،ص512 و 513،ح13.</w:t>
      </w:r>
    </w:p>
  </w:footnote>
  <w:footnote w:id="8">
    <w:p w14:paraId="68E5AE4B"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من لا يحضره الفقيه،ج3،ص441،ح4529 ـ وسائل الشيعة، المصدر السابق،ص509،ح2.</w:t>
      </w:r>
    </w:p>
  </w:footnote>
  <w:footnote w:id="9">
    <w:p w14:paraId="4E5C7027"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من لا يحضره الفقيه،ج3،ص440،ح4526 ـ وسائل الشيعة، المصدر السابق،ص510،ح3.</w:t>
      </w:r>
    </w:p>
  </w:footnote>
  <w:footnote w:id="10">
    <w:p w14:paraId="4B475A24" w14:textId="77777777" w:rsidR="00527B4D" w:rsidRDefault="00527B4D" w:rsidP="00527B4D">
      <w:pPr>
        <w:pStyle w:val="FootnoteText"/>
        <w:bidi/>
        <w:rPr>
          <w:rFonts w:cs="Abz-2 (Badr)" w:hint="cs"/>
          <w:rtl/>
          <w:lang w:bidi="fa-IR"/>
        </w:rPr>
      </w:pPr>
      <w:r>
        <w:rPr>
          <w:rStyle w:val="FootnoteReference"/>
          <w:rFonts w:cs="Abz-2 (Badr)"/>
        </w:rPr>
        <w:footnoteRef/>
      </w:r>
      <w:r>
        <w:rPr>
          <w:rFonts w:cs="Abz-2 (Badr)" w:hint="cs"/>
          <w:rtl/>
        </w:rPr>
        <w:t xml:space="preserve"> ـ الکافي،ج5،ص512،ح8 ـ وسائل الشيعة، المصدر السابق،ح4.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768E" w14:textId="77777777" w:rsidR="00C64E5C" w:rsidRDefault="00C64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053915E"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527B4D">
                            <w:rPr>
                              <w:rFonts w:cs="B Mehr" w:hint="cs"/>
                              <w:rtl/>
                              <w:lang w:bidi="fa-IR"/>
                            </w:rPr>
                            <w:t>یک</w:t>
                          </w:r>
                          <w:r w:rsidR="00B706A3">
                            <w:rPr>
                              <w:rFonts w:cs="B Mehr" w:hint="cs"/>
                              <w:rtl/>
                              <w:lang w:bidi="fa-IR"/>
                            </w:rPr>
                            <w:t>شنبه</w:t>
                          </w:r>
                          <w:r>
                            <w:rPr>
                              <w:rFonts w:cs="B Mehr" w:hint="cs"/>
                              <w:rtl/>
                              <w:lang w:bidi="fa-IR"/>
                            </w:rPr>
                            <w:t xml:space="preserve"> </w:t>
                          </w:r>
                          <w:r>
                            <w:rPr>
                              <w:rFonts w:cs="B Mehr" w:hint="cs"/>
                              <w:rtl/>
                            </w:rPr>
                            <w:t xml:space="preserve">،   </w:t>
                          </w:r>
                          <w:r w:rsidR="00527B4D">
                            <w:rPr>
                              <w:rFonts w:cs="B Mehr" w:hint="cs"/>
                              <w:rtl/>
                              <w:lang w:bidi="fa-IR"/>
                            </w:rPr>
                            <w:t>6</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6053915E"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527B4D">
                      <w:rPr>
                        <w:rFonts w:cs="B Mehr" w:hint="cs"/>
                        <w:rtl/>
                        <w:lang w:bidi="fa-IR"/>
                      </w:rPr>
                      <w:t>یک</w:t>
                    </w:r>
                    <w:r w:rsidR="00B706A3">
                      <w:rPr>
                        <w:rFonts w:cs="B Mehr" w:hint="cs"/>
                        <w:rtl/>
                        <w:lang w:bidi="fa-IR"/>
                      </w:rPr>
                      <w:t>شنبه</w:t>
                    </w:r>
                    <w:r>
                      <w:rPr>
                        <w:rFonts w:cs="B Mehr" w:hint="cs"/>
                        <w:rtl/>
                        <w:lang w:bidi="fa-IR"/>
                      </w:rPr>
                      <w:t xml:space="preserve"> </w:t>
                    </w:r>
                    <w:r>
                      <w:rPr>
                        <w:rFonts w:cs="B Mehr" w:hint="cs"/>
                        <w:rtl/>
                      </w:rPr>
                      <w:t xml:space="preserve">،   </w:t>
                    </w:r>
                    <w:r w:rsidR="00527B4D">
                      <w:rPr>
                        <w:rFonts w:cs="B Mehr" w:hint="cs"/>
                        <w:rtl/>
                        <w:lang w:bidi="fa-IR"/>
                      </w:rPr>
                      <w:t>6</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6148" w14:textId="77777777" w:rsidR="00C64E5C" w:rsidRDefault="00C64E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21723</TotalTime>
  <Pages>1</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602</cp:revision>
  <cp:lastPrinted>2025-04-14T09:12:00Z</cp:lastPrinted>
  <dcterms:created xsi:type="dcterms:W3CDTF">2022-10-16T08:36:00Z</dcterms:created>
  <dcterms:modified xsi:type="dcterms:W3CDTF">2025-09-28T11:21:00Z</dcterms:modified>
</cp:coreProperties>
</file>