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BDD65" w14:textId="77777777" w:rsidR="00C253FC" w:rsidRDefault="00C253FC" w:rsidP="00C253FC">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3A937E5" w14:textId="77777777" w:rsidR="00C253FC" w:rsidRDefault="00C253FC" w:rsidP="00C253FC">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DD21B9D" w14:textId="77777777" w:rsidR="00C253FC" w:rsidRDefault="00C253FC" w:rsidP="00C253FC">
      <w:pPr>
        <w:widowControl w:val="0"/>
        <w:bidi/>
        <w:spacing w:after="0"/>
        <w:jc w:val="center"/>
        <w:rPr>
          <w:rFonts w:cs="B Mitra" w:hint="cs"/>
          <w:b/>
          <w:bCs/>
          <w:sz w:val="32"/>
          <w:szCs w:val="32"/>
          <w:rtl/>
          <w:lang w:bidi="fa-IR"/>
        </w:rPr>
      </w:pPr>
      <w:r>
        <w:rPr>
          <w:rFonts w:cs="B Mitra" w:hint="cs"/>
          <w:b/>
          <w:bCs/>
          <w:sz w:val="32"/>
          <w:szCs w:val="32"/>
          <w:rtl/>
          <w:lang w:bidi="fa-IR"/>
        </w:rPr>
        <w:t>جلسه 839</w:t>
      </w:r>
    </w:p>
    <w:p w14:paraId="007A448F" w14:textId="77777777" w:rsidR="00C253FC" w:rsidRDefault="00C253FC" w:rsidP="00C253FC">
      <w:pPr>
        <w:widowControl w:val="0"/>
        <w:bidi/>
        <w:spacing w:after="0"/>
        <w:ind w:firstLine="284"/>
        <w:jc w:val="both"/>
        <w:rPr>
          <w:rFonts w:cs="Abz-2 (Badr)" w:hint="cs"/>
          <w:sz w:val="28"/>
          <w:szCs w:val="28"/>
          <w:rtl/>
          <w:lang w:bidi="fa-IR"/>
        </w:rPr>
      </w:pPr>
      <w:bookmarkStart w:id="0" w:name="_Hlk159096966"/>
    </w:p>
    <w:bookmarkEnd w:id="0"/>
    <w:p w14:paraId="6DA4D26D"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در ادامه بحث به بررسی آيات ديگری که ادعای دلالت آنها بر وجوب نفقه زوجه بر زوج شده است، می</w:t>
      </w:r>
      <w:r>
        <w:rPr>
          <w:rFonts w:cs="Abz-2 (Badr)" w:hint="cs"/>
          <w:color w:val="000000" w:themeColor="text1"/>
          <w:spacing w:val="-6"/>
          <w:sz w:val="28"/>
          <w:szCs w:val="28"/>
          <w:rtl/>
          <w:lang w:bidi="fa-IR"/>
        </w:rPr>
        <w:softHyphen/>
        <w:t>پردازيم.</w:t>
      </w:r>
    </w:p>
    <w:p w14:paraId="67298D71"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bookmarkStart w:id="1" w:name="_Hlk209690804"/>
      <w:r>
        <w:rPr>
          <w:rFonts w:cs="Abz-2 (Badr)" w:hint="cs"/>
          <w:color w:val="00B050"/>
          <w:spacing w:val="-6"/>
          <w:sz w:val="28"/>
          <w:szCs w:val="28"/>
          <w:rtl/>
          <w:lang w:bidi="fa-IR"/>
        </w:rPr>
        <w:t xml:space="preserve">3 ـ </w:t>
      </w:r>
      <w:r>
        <w:rPr>
          <w:rFonts w:cs="QuranTaha" w:hint="cs"/>
          <w:color w:val="BF8F00" w:themeColor="accent4" w:themeShade="BF"/>
          <w:spacing w:val="-6"/>
          <w:sz w:val="26"/>
          <w:szCs w:val="26"/>
          <w:rtl/>
        </w:rPr>
        <w:t>«لِيُنْفِقْ ذُو سَعَةٍ مِنْ سَعَتِهِ وَمَنْ قُدِرَ عَلَيْهِ رِزْقُهُ فَلْيُنْفِقْ مِمَّا آتَاهُ اللَّهُ»</w:t>
      </w:r>
      <w:r>
        <w:rPr>
          <w:rFonts w:cs="Abz-2 (Badr)"/>
          <w:sz w:val="30"/>
          <w:szCs w:val="30"/>
          <w:vertAlign w:val="superscript"/>
          <w:rtl/>
        </w:rPr>
        <w:footnoteReference w:id="1"/>
      </w:r>
      <w:r>
        <w:rPr>
          <w:rFonts w:cs="Abz-2 (Badr)" w:hint="cs"/>
          <w:color w:val="000000" w:themeColor="text1"/>
          <w:spacing w:val="-6"/>
          <w:sz w:val="28"/>
          <w:szCs w:val="28"/>
          <w:rtl/>
        </w:rPr>
        <w:t>.</w:t>
      </w:r>
    </w:p>
    <w:p w14:paraId="4024185E"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اما تمسّک به اين آيه برای اثبات نفقه زوجه، تمام نيست، زيرا آنچه که از آن استفاده می</w:t>
      </w:r>
      <w:r>
        <w:rPr>
          <w:rFonts w:cs="Abz-2 (Badr)" w:hint="cs"/>
          <w:color w:val="000000" w:themeColor="text1"/>
          <w:spacing w:val="-6"/>
          <w:sz w:val="28"/>
          <w:szCs w:val="28"/>
          <w:rtl/>
          <w:lang w:bidi="fa-IR"/>
        </w:rPr>
        <w:softHyphen/>
        <w:t>شود اين است که کسی که نفقه بر او واجب است، مقدار نفقه</w:t>
      </w:r>
      <w:r>
        <w:rPr>
          <w:rFonts w:cs="Abz-2 (Badr)" w:hint="cs"/>
          <w:color w:val="000000" w:themeColor="text1"/>
          <w:spacing w:val="-6"/>
          <w:sz w:val="28"/>
          <w:szCs w:val="28"/>
          <w:rtl/>
          <w:lang w:bidi="fa-IR"/>
        </w:rPr>
        <w:softHyphen/>
        <w:t>ای که بايد پرداخت کند، مناسب با تمکّن مالی اوست، اما اين که نفقه بر چه کسی واجب است، آيه دلالتی بر آن ندارد.</w:t>
      </w:r>
    </w:p>
    <w:p w14:paraId="43C7B2B4" w14:textId="77777777" w:rsidR="00C253FC" w:rsidRDefault="00C253FC" w:rsidP="00C253FC">
      <w:pPr>
        <w:widowControl w:val="0"/>
        <w:bidi/>
        <w:spacing w:after="0" w:line="249" w:lineRule="auto"/>
        <w:ind w:firstLine="284"/>
        <w:jc w:val="both"/>
        <w:rPr>
          <w:rFonts w:cs="Abz-2 (Badr)" w:hint="cs"/>
          <w:color w:val="0070C0"/>
          <w:spacing w:val="-6"/>
          <w:sz w:val="28"/>
          <w:szCs w:val="28"/>
          <w:rtl/>
          <w:lang w:bidi="fa-IR"/>
        </w:rPr>
      </w:pPr>
      <w:r>
        <w:rPr>
          <w:rFonts w:cs="Abz-2 (Badr)" w:hint="cs"/>
          <w:color w:val="000000" w:themeColor="text1"/>
          <w:spacing w:val="-6"/>
          <w:sz w:val="28"/>
          <w:szCs w:val="28"/>
          <w:rtl/>
          <w:lang w:bidi="fa-IR"/>
        </w:rPr>
        <w:t xml:space="preserve">فلذا شيخ در تبيان در تفسير آيه فرموده است: </w:t>
      </w:r>
      <w:r>
        <w:rPr>
          <w:rFonts w:cs="Abz-2 (Badr)" w:hint="cs"/>
          <w:color w:val="0070C0"/>
          <w:spacing w:val="-6"/>
          <w:sz w:val="28"/>
          <w:szCs w:val="28"/>
          <w:rtl/>
          <w:lang w:bidi="fa-IR"/>
        </w:rPr>
        <w:t>«معناه أنّ كلّ إنسان يجب عليه النفقة بحسب حاله، فالغنيّ ينبغي أن يوسّع في النفقة والفقير بحسب حاله.»</w:t>
      </w:r>
      <w:r>
        <w:rPr>
          <w:rFonts w:cs="Abz-2 (Badr)"/>
          <w:sz w:val="30"/>
          <w:szCs w:val="30"/>
          <w:vertAlign w:val="superscript"/>
          <w:rtl/>
        </w:rPr>
        <w:footnoteReference w:id="2"/>
      </w:r>
    </w:p>
    <w:p w14:paraId="5F1F7416"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 xml:space="preserve">بلکه برخی با توجه به آيه سابق که مربوط به زنان مطلقه بوده و در آن آمده است: </w:t>
      </w:r>
      <w:r>
        <w:rPr>
          <w:rFonts w:cs="QuranTaha" w:hint="cs"/>
          <w:color w:val="BF8F00" w:themeColor="accent4" w:themeShade="BF"/>
          <w:spacing w:val="-6"/>
          <w:sz w:val="26"/>
          <w:szCs w:val="26"/>
          <w:rtl/>
          <w:lang w:bidi="fa-IR"/>
        </w:rPr>
        <w:t>«</w:t>
      </w:r>
      <w:r>
        <w:rPr>
          <w:rFonts w:cs="QuranTaha" w:hint="cs"/>
          <w:color w:val="BF8F00" w:themeColor="accent4" w:themeShade="BF"/>
          <w:spacing w:val="-6"/>
          <w:sz w:val="26"/>
          <w:szCs w:val="26"/>
          <w:rtl/>
        </w:rPr>
        <w:t>وَإِنْ كُنَّ أُولَاتِ حَمْلٍ فَأَنْفِقُوا عَلَيْهِنَّ حَتَّىٰ يَضَعْنَ حَمْلَهُنَّ فَإِنْ أَرْضَعْنَ لَكـُمْ فَآتُوهُنَّ أُجُورَهُنَّ»</w:t>
      </w:r>
      <w:r>
        <w:rPr>
          <w:rFonts w:cs="Abz-2 (Badr)"/>
          <w:sz w:val="30"/>
          <w:szCs w:val="30"/>
          <w:vertAlign w:val="superscript"/>
          <w:rtl/>
        </w:rPr>
        <w:footnoteReference w:id="3"/>
      </w:r>
      <w:r>
        <w:rPr>
          <w:rFonts w:cs="QuranTaha" w:hint="cs"/>
          <w:color w:val="000000" w:themeColor="text1"/>
          <w:spacing w:val="-6"/>
          <w:sz w:val="26"/>
          <w:szCs w:val="26"/>
          <w:rtl/>
        </w:rPr>
        <w:t>،</w:t>
      </w:r>
      <w:r>
        <w:rPr>
          <w:rFonts w:cs="QuranTaha" w:hint="cs"/>
          <w:color w:val="BF8F00" w:themeColor="accent4" w:themeShade="BF"/>
          <w:spacing w:val="-6"/>
          <w:sz w:val="26"/>
          <w:szCs w:val="26"/>
          <w:rtl/>
        </w:rPr>
        <w:t xml:space="preserve"> </w:t>
      </w:r>
      <w:r>
        <w:rPr>
          <w:rFonts w:cs="Abz-2 (Badr)" w:hint="cs"/>
          <w:color w:val="000000" w:themeColor="text1"/>
          <w:spacing w:val="-6"/>
          <w:sz w:val="28"/>
          <w:szCs w:val="28"/>
          <w:rtl/>
          <w:lang w:bidi="fa-IR"/>
        </w:rPr>
        <w:t>حکم مذکور در اين آيه را مختص به زنان مطلقه</w:t>
      </w:r>
      <w:r>
        <w:rPr>
          <w:rFonts w:cs="Abz-2 (Badr)" w:hint="cs"/>
          <w:color w:val="000000" w:themeColor="text1"/>
          <w:spacing w:val="-6"/>
          <w:sz w:val="28"/>
          <w:szCs w:val="28"/>
          <w:rtl/>
          <w:lang w:bidi="fa-IR"/>
        </w:rPr>
        <w:softHyphen/>
        <w:t>ای دانسته</w:t>
      </w:r>
      <w:r>
        <w:rPr>
          <w:rFonts w:cs="Abz-2 (Badr)" w:hint="cs"/>
          <w:color w:val="000000" w:themeColor="text1"/>
          <w:spacing w:val="-6"/>
          <w:sz w:val="28"/>
          <w:szCs w:val="28"/>
          <w:rtl/>
          <w:lang w:bidi="fa-IR"/>
        </w:rPr>
        <w:softHyphen/>
        <w:t>اند که در حال شير دادن به فرزند خود می</w:t>
      </w:r>
      <w:r>
        <w:rPr>
          <w:rFonts w:cs="Abz-2 (Badr)" w:hint="cs"/>
          <w:color w:val="000000" w:themeColor="text1"/>
          <w:spacing w:val="-6"/>
          <w:sz w:val="28"/>
          <w:szCs w:val="28"/>
          <w:rtl/>
          <w:lang w:bidi="fa-IR"/>
        </w:rPr>
        <w:softHyphen/>
        <w:t>باشند.</w:t>
      </w:r>
    </w:p>
    <w:p w14:paraId="54B561E2" w14:textId="77777777" w:rsidR="00C253FC" w:rsidRDefault="00C253FC" w:rsidP="00C253FC">
      <w:pPr>
        <w:widowControl w:val="0"/>
        <w:bidi/>
        <w:spacing w:after="0" w:line="249" w:lineRule="auto"/>
        <w:ind w:firstLine="284"/>
        <w:jc w:val="both"/>
        <w:rPr>
          <w:rFonts w:cs="Abz-2 (Badr)" w:hint="cs"/>
          <w:color w:val="0070C0"/>
          <w:spacing w:val="-6"/>
          <w:sz w:val="28"/>
          <w:szCs w:val="28"/>
          <w:rtl/>
        </w:rPr>
      </w:pPr>
      <w:r>
        <w:rPr>
          <w:rFonts w:cs="Abz-2 (Badr)" w:hint="cs"/>
          <w:color w:val="000000" w:themeColor="text1"/>
          <w:spacing w:val="-6"/>
          <w:sz w:val="28"/>
          <w:szCs w:val="28"/>
          <w:rtl/>
          <w:lang w:bidi="fa-IR"/>
        </w:rPr>
        <w:t>فخر رازی در تفسير آيه می</w:t>
      </w:r>
      <w:r>
        <w:rPr>
          <w:rFonts w:cs="Abz-2 (Badr)" w:hint="cs"/>
          <w:color w:val="000000" w:themeColor="text1"/>
          <w:spacing w:val="-6"/>
          <w:sz w:val="28"/>
          <w:szCs w:val="28"/>
          <w:rtl/>
          <w:lang w:bidi="fa-IR"/>
        </w:rPr>
        <w:softHyphen/>
        <w:t xml:space="preserve">گويد: </w:t>
      </w:r>
      <w:r>
        <w:rPr>
          <w:rFonts w:cs="Abz-2 (Badr)" w:hint="cs"/>
          <w:color w:val="0070C0"/>
          <w:spacing w:val="-6"/>
          <w:sz w:val="28"/>
          <w:szCs w:val="28"/>
          <w:rtl/>
          <w:lang w:bidi="fa-IR"/>
        </w:rPr>
        <w:t>«أمر أهل التوسعة أن يوسّعوا على نسائهم المرضعات على قدر سعتهم، ومن كان رزقه بمقدار القوت، فلينفق على مقدار ذلك‏.»</w:t>
      </w:r>
      <w:r>
        <w:rPr>
          <w:rFonts w:cs="Abz-2 (Badr)"/>
          <w:sz w:val="30"/>
          <w:szCs w:val="30"/>
          <w:vertAlign w:val="superscript"/>
          <w:rtl/>
        </w:rPr>
        <w:footnoteReference w:id="4"/>
      </w:r>
    </w:p>
    <w:p w14:paraId="4D78F889"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lastRenderedPageBreak/>
        <w:t xml:space="preserve">صاحب الميزان نيز فرموده است: </w:t>
      </w:r>
      <w:r>
        <w:rPr>
          <w:rFonts w:cs="Abz-2 (Badr)" w:hint="cs"/>
          <w:color w:val="0070C0"/>
          <w:spacing w:val="-6"/>
          <w:sz w:val="28"/>
          <w:szCs w:val="28"/>
          <w:rtl/>
          <w:lang w:bidi="fa-IR"/>
        </w:rPr>
        <w:t>«هو أمر لأهل السعة بأن يوسّعوا على نسائهم المطلّقات المرضعات أولادهم.»</w:t>
      </w:r>
      <w:r>
        <w:rPr>
          <w:rFonts w:cs="Abz-2 (Badr)"/>
          <w:sz w:val="30"/>
          <w:szCs w:val="30"/>
          <w:vertAlign w:val="superscript"/>
          <w:rtl/>
        </w:rPr>
        <w:footnoteReference w:id="5"/>
      </w:r>
    </w:p>
    <w:p w14:paraId="34E38D04"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ولی اين مدعا قابل پذيرش نيست، زيرا اولاً: اگر هم آيه را مختص به موردی بدانيم که در آيات سابق حکم آنان ذکر شده است، بايد آن را مخصوص به زنان مطلقه</w:t>
      </w:r>
      <w:r>
        <w:rPr>
          <w:rFonts w:cs="Abz-2 (Badr)" w:hint="cs"/>
          <w:color w:val="000000" w:themeColor="text1"/>
          <w:spacing w:val="-6"/>
          <w:sz w:val="28"/>
          <w:szCs w:val="28"/>
          <w:rtl/>
          <w:lang w:bidi="fa-IR"/>
        </w:rPr>
        <w:softHyphen/>
        <w:t>ای بدانيم که حامل هستند، زيرا زن مطلقه</w:t>
      </w:r>
      <w:r>
        <w:rPr>
          <w:rFonts w:cs="Abz-2 (Badr)" w:hint="cs"/>
          <w:color w:val="000000" w:themeColor="text1"/>
          <w:spacing w:val="-6"/>
          <w:sz w:val="28"/>
          <w:szCs w:val="28"/>
          <w:rtl/>
          <w:lang w:bidi="fa-IR"/>
        </w:rPr>
        <w:softHyphen/>
        <w:t>ای که در حال شير دان به فرزند خود است، اجرت طلبکار است نه نفقه.</w:t>
      </w:r>
    </w:p>
    <w:p w14:paraId="18A5A5DA" w14:textId="77777777" w:rsidR="00C253FC" w:rsidRDefault="00C253FC" w:rsidP="00C253FC">
      <w:pPr>
        <w:widowControl w:val="0"/>
        <w:bidi/>
        <w:spacing w:after="0" w:line="249"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ثانياً: مورد مخصص نيست و می</w:t>
      </w:r>
      <w:r>
        <w:rPr>
          <w:rFonts w:cs="Abz-2 (Badr)" w:hint="cs"/>
          <w:color w:val="000000" w:themeColor="text1"/>
          <w:spacing w:val="-6"/>
          <w:sz w:val="28"/>
          <w:szCs w:val="28"/>
          <w:rtl/>
          <w:lang w:bidi="fa-IR"/>
        </w:rPr>
        <w:softHyphen/>
        <w:t>توان از اين آيه شريفه، حکمی کلی در خصوص هر کسی که نفقه بر وی واجب است، استفاده نمود، هرچند همان گونه که گذشت، نمی</w:t>
      </w:r>
      <w:r>
        <w:rPr>
          <w:rFonts w:cs="Abz-2 (Badr)" w:hint="cs"/>
          <w:color w:val="000000" w:themeColor="text1"/>
          <w:spacing w:val="-6"/>
          <w:sz w:val="28"/>
          <w:szCs w:val="28"/>
          <w:rtl/>
          <w:lang w:bidi="fa-IR"/>
        </w:rPr>
        <w:softHyphen/>
        <w:t>توان بر اساس آن تعيين نمود که نفقه بر چه کسی واجب است.</w:t>
      </w:r>
    </w:p>
    <w:bookmarkEnd w:id="1"/>
    <w:p w14:paraId="25D8560B" w14:textId="77777777" w:rsidR="00C253FC" w:rsidRDefault="00C253FC" w:rsidP="00C253FC">
      <w:pPr>
        <w:pStyle w:val="a0"/>
        <w:widowControl w:val="0"/>
        <w:spacing w:after="0"/>
        <w:ind w:firstLine="284"/>
        <w:rPr>
          <w:rFonts w:cs="Abz-2 (Badr)"/>
          <w:b w:val="0"/>
          <w:bCs w:val="0"/>
          <w:color w:val="000000" w:themeColor="text1"/>
          <w:spacing w:val="-6"/>
          <w:sz w:val="28"/>
          <w:szCs w:val="28"/>
        </w:rPr>
      </w:pPr>
      <w:r>
        <w:rPr>
          <w:rFonts w:cs="Abz-2 (Badr)" w:hint="cs"/>
          <w:b w:val="0"/>
          <w:bCs w:val="0"/>
          <w:color w:val="000000" w:themeColor="text1"/>
          <w:spacing w:val="-6"/>
          <w:sz w:val="28"/>
          <w:szCs w:val="28"/>
          <w:rtl/>
        </w:rPr>
        <w:t>البته در تفسير اين آيه شريفه روايتی وارد شده است که بر اساس آن می</w:t>
      </w:r>
      <w:r>
        <w:rPr>
          <w:rFonts w:cs="Abz-2 (Badr)" w:hint="cs"/>
          <w:b w:val="0"/>
          <w:bCs w:val="0"/>
          <w:color w:val="000000" w:themeColor="text1"/>
          <w:spacing w:val="-6"/>
          <w:sz w:val="28"/>
          <w:szCs w:val="28"/>
          <w:rtl/>
        </w:rPr>
        <w:softHyphen/>
        <w:t xml:space="preserve">توان ادعا نمود که آيه، دلالت بر وجوب نفقه دارد و آن روايت صحيحه </w:t>
      </w:r>
      <w:r>
        <w:rPr>
          <w:rFonts w:cs="Abz-2 (Badr)" w:hint="cs"/>
          <w:b w:val="0"/>
          <w:bCs w:val="0"/>
          <w:color w:val="000000" w:themeColor="text1"/>
          <w:spacing w:val="-6"/>
          <w:sz w:val="28"/>
          <w:szCs w:val="28"/>
          <w:rtl/>
          <w:lang w:bidi="ar"/>
        </w:rPr>
        <w:t xml:space="preserve">ربعی بن‌ عبدالله و فضيل بن يسار عن أبي عبدالله(ع) است که در آن آمده است‌: </w:t>
      </w:r>
      <w:r>
        <w:rPr>
          <w:rFonts w:cs="Abz-2 (Badr)" w:hint="cs"/>
          <w:b w:val="0"/>
          <w:bCs w:val="0"/>
          <w:color w:val="70AD47" w:themeColor="accent6"/>
          <w:sz w:val="28"/>
          <w:szCs w:val="28"/>
          <w:rtl/>
        </w:rPr>
        <w:t>«في قوله عزّ وجلّ:</w:t>
      </w:r>
      <w:r>
        <w:rPr>
          <w:rFonts w:cs="Abz-2 (Badr)" w:hint="cs"/>
          <w:color w:val="00B0F0"/>
          <w:spacing w:val="-6"/>
          <w:sz w:val="28"/>
          <w:szCs w:val="28"/>
          <w:rtl/>
          <w:lang w:bidi="ar"/>
        </w:rPr>
        <w:t xml:space="preserve"> </w:t>
      </w:r>
      <w:r>
        <w:rPr>
          <w:rFonts w:cs="QuranTaha" w:hint="cs"/>
          <w:b w:val="0"/>
          <w:bCs w:val="0"/>
          <w:color w:val="BF8F00" w:themeColor="accent4" w:themeShade="BF"/>
          <w:spacing w:val="-6"/>
          <w:sz w:val="26"/>
          <w:szCs w:val="26"/>
          <w:rtl/>
          <w:lang w:bidi="ar-SA"/>
        </w:rPr>
        <w:t>«</w:t>
      </w:r>
      <w:r>
        <w:rPr>
          <w:rFonts w:cs="QuranTaha" w:hint="cs"/>
          <w:b w:val="0"/>
          <w:bCs w:val="0"/>
          <w:color w:val="BF8F00" w:themeColor="accent4" w:themeShade="BF"/>
          <w:spacing w:val="-6"/>
          <w:sz w:val="26"/>
          <w:szCs w:val="26"/>
          <w:rtl/>
        </w:rPr>
        <w:t>وَمَنْ قُدِرَ عَلَيْهِ رِزْقُهُ فَلْيُنْفِقْ مِمَّا آتَاهُ اللَّهُ</w:t>
      </w:r>
      <w:r>
        <w:rPr>
          <w:rFonts w:cs="QuranTaha" w:hint="cs"/>
          <w:b w:val="0"/>
          <w:bCs w:val="0"/>
          <w:color w:val="BF8F00" w:themeColor="accent4" w:themeShade="BF"/>
          <w:spacing w:val="-6"/>
          <w:sz w:val="26"/>
          <w:szCs w:val="26"/>
          <w:rtl/>
          <w:lang w:bidi="ar-SA"/>
        </w:rPr>
        <w:t>»</w:t>
      </w:r>
      <w:r>
        <w:rPr>
          <w:rFonts w:cs="Abz-2 (Badr)" w:hint="cs"/>
          <w:color w:val="000000" w:themeColor="text1"/>
          <w:spacing w:val="-6"/>
          <w:sz w:val="28"/>
          <w:szCs w:val="28"/>
          <w:rtl/>
          <w:lang w:bidi="ar"/>
        </w:rPr>
        <w:t xml:space="preserve"> </w:t>
      </w:r>
      <w:r>
        <w:rPr>
          <w:rFonts w:cs="Abz-2 (Badr)" w:hint="cs"/>
          <w:b w:val="0"/>
          <w:bCs w:val="0"/>
          <w:color w:val="70AD47" w:themeColor="accent6"/>
          <w:sz w:val="28"/>
          <w:szCs w:val="28"/>
          <w:rtl/>
        </w:rPr>
        <w:t>قال: إن أنفق عليها ما يقيم ظهرها مع كسوة وإلا فرّق بينهما.»</w:t>
      </w:r>
      <w:r>
        <w:rPr>
          <w:rFonts w:cs="Abz-2 (Badr)"/>
          <w:b w:val="0"/>
          <w:bCs w:val="0"/>
          <w:color w:val="auto"/>
          <w:sz w:val="30"/>
          <w:szCs w:val="30"/>
          <w:vertAlign w:val="superscript"/>
          <w:rtl/>
        </w:rPr>
        <w:footnoteReference w:id="6"/>
      </w:r>
      <w:r>
        <w:rPr>
          <w:rFonts w:cs="Abz-2 (Badr)" w:hint="cs"/>
          <w:b w:val="0"/>
          <w:bCs w:val="0"/>
          <w:color w:val="70AD47" w:themeColor="accent6"/>
          <w:sz w:val="28"/>
          <w:szCs w:val="28"/>
          <w:rtl/>
        </w:rPr>
        <w:t xml:space="preserve"> </w:t>
      </w:r>
      <w:r>
        <w:rPr>
          <w:rFonts w:cs="Abz-2 (Badr)" w:hint="cs"/>
          <w:b w:val="0"/>
          <w:bCs w:val="0"/>
          <w:color w:val="000000" w:themeColor="text1"/>
          <w:spacing w:val="-6"/>
          <w:sz w:val="28"/>
          <w:szCs w:val="28"/>
          <w:rtl/>
        </w:rPr>
        <w:t>زيرا معلوم است که</w:t>
      </w:r>
      <w:r>
        <w:rPr>
          <w:rFonts w:cs="Abz-2 (Badr)" w:hint="cs"/>
          <w:spacing w:val="-6"/>
          <w:sz w:val="28"/>
          <w:szCs w:val="28"/>
          <w:rtl/>
        </w:rPr>
        <w:t xml:space="preserve"> </w:t>
      </w:r>
      <w:r>
        <w:rPr>
          <w:rFonts w:cs="Abz-2 (Badr)" w:hint="cs"/>
          <w:b w:val="0"/>
          <w:bCs w:val="0"/>
          <w:color w:val="000000" w:themeColor="text1"/>
          <w:spacing w:val="-6"/>
          <w:sz w:val="28"/>
          <w:szCs w:val="28"/>
          <w:rtl/>
        </w:rPr>
        <w:t>در صورت واجب نبودن نفقه بر زوج، وجهی برای اين که حاکم بتواند حکم به بينونت بين زوج و زوجه به واسطه عدم اعطاء نفقه توسط زوج بکند، وجود نخواهد داشت.</w:t>
      </w:r>
    </w:p>
    <w:p w14:paraId="7769A029" w14:textId="77777777" w:rsidR="00C253FC" w:rsidRDefault="00C253FC" w:rsidP="00C253FC">
      <w:pPr>
        <w:pStyle w:val="a0"/>
        <w:widowControl w:val="0"/>
        <w:spacing w:after="0"/>
        <w:ind w:firstLine="284"/>
        <w:rPr>
          <w:rFonts w:cs="Abz-2 (Badr)" w:hint="cs"/>
          <w:b w:val="0"/>
          <w:bCs w:val="0"/>
          <w:color w:val="000000" w:themeColor="text1"/>
          <w:spacing w:val="-6"/>
          <w:sz w:val="28"/>
          <w:szCs w:val="28"/>
          <w:rtl/>
        </w:rPr>
      </w:pPr>
      <w:r>
        <w:rPr>
          <w:rFonts w:cs="Abz-2 (Badr)" w:hint="cs"/>
          <w:b w:val="0"/>
          <w:bCs w:val="0"/>
          <w:color w:val="000000" w:themeColor="text1"/>
          <w:spacing w:val="-6"/>
          <w:sz w:val="28"/>
          <w:szCs w:val="28"/>
          <w:rtl/>
        </w:rPr>
        <w:t>در خبر روح بن عبدالرحيم از ابی عبدالله(ع)</w:t>
      </w:r>
      <w:r>
        <w:rPr>
          <w:rFonts w:cs="Abz-2 (Badr)"/>
          <w:b w:val="0"/>
          <w:bCs w:val="0"/>
          <w:color w:val="auto"/>
          <w:sz w:val="30"/>
          <w:szCs w:val="30"/>
          <w:vertAlign w:val="superscript"/>
          <w:rtl/>
        </w:rPr>
        <w:footnoteReference w:id="7"/>
      </w:r>
      <w:r>
        <w:rPr>
          <w:rFonts w:cs="Abz-2 (Badr)" w:hint="cs"/>
          <w:b w:val="0"/>
          <w:bCs w:val="0"/>
          <w:color w:val="000000" w:themeColor="text1"/>
          <w:spacing w:val="-6"/>
          <w:sz w:val="28"/>
          <w:szCs w:val="28"/>
          <w:rtl/>
        </w:rPr>
        <w:t xml:space="preserve"> که در کافی آمده است و نيز در صحيحه ابو بصير از آن حضرت</w:t>
      </w:r>
      <w:r>
        <w:rPr>
          <w:rFonts w:cs="Abz-2 (Badr)"/>
          <w:b w:val="0"/>
          <w:bCs w:val="0"/>
          <w:color w:val="auto"/>
          <w:sz w:val="30"/>
          <w:szCs w:val="30"/>
          <w:vertAlign w:val="superscript"/>
          <w:rtl/>
        </w:rPr>
        <w:footnoteReference w:id="8"/>
      </w:r>
      <w:r>
        <w:rPr>
          <w:rFonts w:cs="Abz-2 (Badr)" w:hint="cs"/>
          <w:b w:val="0"/>
          <w:bCs w:val="0"/>
          <w:color w:val="000000" w:themeColor="text1"/>
          <w:spacing w:val="-6"/>
          <w:sz w:val="28"/>
          <w:szCs w:val="28"/>
          <w:rtl/>
        </w:rPr>
        <w:t xml:space="preserve"> که در تفسير علی بن ابراهيم وارد شده است نيز، نظير همين مطلب ذکر شده است.</w:t>
      </w:r>
    </w:p>
    <w:p w14:paraId="2A323FA1" w14:textId="77777777" w:rsidR="00C253FC" w:rsidRDefault="00C253FC" w:rsidP="00C253FC">
      <w:pPr>
        <w:widowControl w:val="0"/>
        <w:bidi/>
        <w:spacing w:after="0"/>
        <w:ind w:firstLine="284"/>
        <w:jc w:val="both"/>
        <w:rPr>
          <w:rFonts w:cs="Abz-2 (Badr)" w:hint="cs"/>
          <w:color w:val="000000" w:themeColor="text1"/>
          <w:spacing w:val="-6"/>
          <w:sz w:val="28"/>
          <w:szCs w:val="28"/>
          <w:rtl/>
        </w:rPr>
      </w:pPr>
      <w:r>
        <w:rPr>
          <w:rFonts w:cs="Abz-2 (Badr)" w:hint="cs"/>
          <w:color w:val="00B050"/>
          <w:spacing w:val="-6"/>
          <w:sz w:val="28"/>
          <w:szCs w:val="28"/>
          <w:rtl/>
          <w:lang w:bidi="fa-IR"/>
        </w:rPr>
        <w:t>4 ـ</w:t>
      </w:r>
      <w:r>
        <w:rPr>
          <w:rFonts w:cs="Abz-2 (Badr)" w:hint="cs"/>
          <w:color w:val="000000" w:themeColor="text1"/>
          <w:spacing w:val="-6"/>
          <w:sz w:val="28"/>
          <w:szCs w:val="28"/>
          <w:rtl/>
          <w:lang w:bidi="fa-IR"/>
        </w:rPr>
        <w:t xml:space="preserve"> </w:t>
      </w:r>
      <w:r>
        <w:rPr>
          <w:rFonts w:cs="QuranTaha" w:hint="cs"/>
          <w:color w:val="BF8F00" w:themeColor="accent4" w:themeShade="BF"/>
          <w:spacing w:val="-6"/>
          <w:sz w:val="26"/>
          <w:szCs w:val="26"/>
          <w:rtl/>
        </w:rPr>
        <w:t>«الرِّجَالُ قَوَّامُونَ عَلَى النِّسَاءِ بِمَا فَضَّلَ اللَّهُ بَعْضَهُمْ عَلَىٰ بَعْضٍ وَبِمَا أَنْفَقُوا مِنْ أَمْوَالِهِمْ»</w:t>
      </w:r>
      <w:r>
        <w:rPr>
          <w:rFonts w:cs="Abz-2 (Badr)"/>
          <w:sz w:val="30"/>
          <w:szCs w:val="30"/>
          <w:vertAlign w:val="superscript"/>
          <w:rtl/>
        </w:rPr>
        <w:footnoteReference w:id="9"/>
      </w:r>
      <w:r>
        <w:rPr>
          <w:rFonts w:cs="Abz-2 (Badr)" w:hint="cs"/>
          <w:color w:val="000000" w:themeColor="text1"/>
          <w:spacing w:val="-6"/>
          <w:sz w:val="28"/>
          <w:szCs w:val="28"/>
          <w:rtl/>
        </w:rPr>
        <w:t>.</w:t>
      </w:r>
    </w:p>
    <w:p w14:paraId="64BFCB58" w14:textId="77777777" w:rsidR="00C253FC" w:rsidRDefault="00C253FC" w:rsidP="00C253FC">
      <w:pPr>
        <w:widowControl w:val="0"/>
        <w:bidi/>
        <w:spacing w:after="0"/>
        <w:ind w:firstLine="284"/>
        <w:jc w:val="both"/>
        <w:rPr>
          <w:rFonts w:cs="Abz-2 (Badr)" w:hint="cs"/>
          <w:color w:val="000000" w:themeColor="text1"/>
          <w:sz w:val="28"/>
          <w:szCs w:val="28"/>
          <w:rtl/>
          <w:lang w:bidi="fa-IR"/>
        </w:rPr>
      </w:pPr>
      <w:r>
        <w:rPr>
          <w:rFonts w:cs="Abz-2 (Badr)" w:hint="cs"/>
          <w:color w:val="000000" w:themeColor="text1"/>
          <w:spacing w:val="-6"/>
          <w:sz w:val="28"/>
          <w:szCs w:val="28"/>
          <w:rtl/>
          <w:lang w:bidi="fa-IR"/>
        </w:rPr>
        <w:t xml:space="preserve">اما همان گونه که سابقاً و در ضمن مباحث مربوط به نشوز گذشت، مراد از نفقه در آيه شريفه، </w:t>
      </w:r>
      <w:r>
        <w:rPr>
          <w:rFonts w:cs="Abz-2 (Badr)" w:hint="cs"/>
          <w:color w:val="000000" w:themeColor="text1"/>
          <w:sz w:val="28"/>
          <w:szCs w:val="28"/>
          <w:rtl/>
          <w:lang w:bidi="fa-IR"/>
        </w:rPr>
        <w:t>نفقه</w:t>
      </w:r>
      <w:r>
        <w:rPr>
          <w:rFonts w:cs="Abz-2 (Badr)" w:hint="cs"/>
          <w:color w:val="000000" w:themeColor="text1"/>
          <w:sz w:val="28"/>
          <w:szCs w:val="28"/>
          <w:cs/>
          <w:lang w:bidi="fa-IR"/>
        </w:rPr>
        <w:t>‎</w:t>
      </w:r>
      <w:r>
        <w:rPr>
          <w:rFonts w:cs="Abz-2 (Badr)" w:hint="cs"/>
          <w:color w:val="000000" w:themeColor="text1"/>
          <w:sz w:val="28"/>
          <w:szCs w:val="28"/>
          <w:rtl/>
          <w:lang w:bidi="fa-IR"/>
        </w:rPr>
        <w:t xml:space="preserve">ای نيست که دادن آن </w:t>
      </w:r>
      <w:r>
        <w:rPr>
          <w:rFonts w:cs="Abz-2 (Badr)" w:hint="cs"/>
          <w:color w:val="000000" w:themeColor="text1"/>
          <w:sz w:val="28"/>
          <w:szCs w:val="28"/>
          <w:rtl/>
          <w:lang w:bidi="fa-IR"/>
        </w:rPr>
        <w:lastRenderedPageBreak/>
        <w:t>بر مرد شرعاً واجب شده است، زيرا در اين صورت نبايد وجوب چنين امری دليل قوّام بودن مردان ذکر می</w:t>
      </w:r>
      <w:r>
        <w:rPr>
          <w:rFonts w:cs="Abz-2 (Badr)" w:hint="cs"/>
          <w:color w:val="000000" w:themeColor="text1"/>
          <w:sz w:val="28"/>
          <w:szCs w:val="28"/>
          <w:cs/>
          <w:lang w:bidi="fa-IR"/>
        </w:rPr>
        <w:t>‎</w:t>
      </w:r>
      <w:r>
        <w:rPr>
          <w:rFonts w:cs="Abz-2 (Badr)" w:hint="cs"/>
          <w:color w:val="000000" w:themeColor="text1"/>
          <w:sz w:val="28"/>
          <w:szCs w:val="28"/>
          <w:rtl/>
          <w:lang w:bidi="fa-IR"/>
        </w:rPr>
        <w:t>شد، چون آنچه که سبب وجوب دادن نفقه بر مرد می</w:t>
      </w:r>
      <w:r>
        <w:rPr>
          <w:rFonts w:cs="Abz-2 (Badr)" w:hint="cs"/>
          <w:color w:val="000000" w:themeColor="text1"/>
          <w:sz w:val="28"/>
          <w:szCs w:val="28"/>
          <w:cs/>
          <w:lang w:bidi="fa-IR"/>
        </w:rPr>
        <w:t>‎</w:t>
      </w:r>
      <w:r>
        <w:rPr>
          <w:rFonts w:cs="Abz-2 (Badr)" w:hint="cs"/>
          <w:color w:val="000000" w:themeColor="text1"/>
          <w:sz w:val="28"/>
          <w:szCs w:val="28"/>
          <w:rtl/>
          <w:lang w:bidi="fa-IR"/>
        </w:rPr>
        <w:t>شود، قوّام بودن او به نسبت به زن است، نه اين که قوّام بودن ناشی از وجوب دادن نفقه باشد.</w:t>
      </w:r>
    </w:p>
    <w:p w14:paraId="2CE8D03A" w14:textId="77777777" w:rsidR="00C253FC" w:rsidRDefault="00C253FC" w:rsidP="00C253FC">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مضافاً بر اين که در اين صورت آيه فقط اختصاص به روابط زوجين پيدا خواهد کرد که با مدعای برخی از مفسّرين مبنی بر عموم آن ناسازگار خواهد بود، زيرا در غير اين صورت می</w:t>
      </w:r>
      <w:r>
        <w:rPr>
          <w:rFonts w:cs="Abz-2 (Badr)" w:hint="cs"/>
          <w:color w:val="000000" w:themeColor="text1"/>
          <w:sz w:val="28"/>
          <w:szCs w:val="28"/>
          <w:cs/>
          <w:lang w:bidi="fa-IR"/>
        </w:rPr>
        <w:t>‎</w:t>
      </w:r>
      <w:r>
        <w:rPr>
          <w:rFonts w:cs="Abz-2 (Badr)" w:hint="cs"/>
          <w:color w:val="000000" w:themeColor="text1"/>
          <w:sz w:val="28"/>
          <w:szCs w:val="28"/>
          <w:rtl/>
          <w:lang w:bidi="fa-IR"/>
        </w:rPr>
        <w:t>توان ادعا کرد که در برخی از موارد اعطاء نفقه به مرد شرعاً به عهده زن گذاشته شده است، مثل موردی که زنی دارای تمکّن مالی بوده و پدر يا پسر او فقير باشند و نمی</w:t>
      </w:r>
      <w:r>
        <w:rPr>
          <w:rFonts w:cs="Abz-2 (Badr)" w:hint="cs"/>
          <w:color w:val="000000" w:themeColor="text1"/>
          <w:sz w:val="28"/>
          <w:szCs w:val="28"/>
          <w:cs/>
          <w:lang w:bidi="fa-IR"/>
        </w:rPr>
        <w:t>‎</w:t>
      </w:r>
      <w:r>
        <w:rPr>
          <w:rFonts w:cs="Abz-2 (Badr)" w:hint="cs"/>
          <w:color w:val="000000" w:themeColor="text1"/>
          <w:sz w:val="28"/>
          <w:szCs w:val="28"/>
          <w:rtl/>
          <w:lang w:bidi="fa-IR"/>
        </w:rPr>
        <w:t>توان ادعا کرد که مطلقاً نفقه زن بر عهده مرد است.</w:t>
      </w:r>
    </w:p>
    <w:p w14:paraId="7A891211" w14:textId="77777777" w:rsidR="00C253FC" w:rsidRDefault="00C253FC" w:rsidP="00C253FC">
      <w:pPr>
        <w:widowControl w:val="0"/>
        <w:bidi/>
        <w:spacing w:after="0"/>
        <w:ind w:firstLine="284"/>
        <w:jc w:val="both"/>
        <w:rPr>
          <w:rFonts w:cs="Abz-2 (Badr)" w:hint="cs"/>
          <w:color w:val="000000" w:themeColor="text1"/>
          <w:spacing w:val="-6"/>
          <w:sz w:val="28"/>
          <w:szCs w:val="28"/>
          <w:rtl/>
          <w:lang w:bidi="fa-IR"/>
        </w:rPr>
      </w:pPr>
      <w:r>
        <w:rPr>
          <w:rFonts w:cs="Abz-2 (Badr)" w:hint="cs"/>
          <w:color w:val="000000" w:themeColor="text1"/>
          <w:sz w:val="28"/>
          <w:szCs w:val="28"/>
          <w:rtl/>
          <w:lang w:bidi="fa-IR"/>
        </w:rPr>
        <w:t>بنابر اين مراد از اين عبارت اين است که به نحو طبيعی، تأثيرگذاری مردان در امور اقتصادی بيشتر از زنان است و اين نوع مردان هستند که امور اقتصادی را اداره می</w:t>
      </w:r>
      <w:r>
        <w:rPr>
          <w:rFonts w:cs="Abz-2 (Badr)" w:hint="cs"/>
          <w:color w:val="000000" w:themeColor="text1"/>
          <w:sz w:val="28"/>
          <w:szCs w:val="28"/>
          <w:cs/>
          <w:lang w:bidi="fa-IR"/>
        </w:rPr>
        <w:t>‎</w:t>
      </w:r>
      <w:r>
        <w:rPr>
          <w:rFonts w:cs="Abz-2 (Badr)" w:hint="cs"/>
          <w:color w:val="000000" w:themeColor="text1"/>
          <w:sz w:val="28"/>
          <w:szCs w:val="28"/>
          <w:rtl/>
          <w:lang w:bidi="fa-IR"/>
        </w:rPr>
        <w:t>کنند. به همين جهت گفته می</w:t>
      </w:r>
      <w:r>
        <w:rPr>
          <w:rFonts w:cs="Abz-2 (Badr)" w:hint="cs"/>
          <w:color w:val="000000" w:themeColor="text1"/>
          <w:sz w:val="28"/>
          <w:szCs w:val="28"/>
          <w:cs/>
          <w:lang w:bidi="fa-IR"/>
        </w:rPr>
        <w:t>‎</w:t>
      </w:r>
      <w:r>
        <w:rPr>
          <w:rFonts w:cs="Abz-2 (Badr)" w:hint="cs"/>
          <w:color w:val="000000" w:themeColor="text1"/>
          <w:sz w:val="28"/>
          <w:szCs w:val="28"/>
          <w:rtl/>
          <w:lang w:bidi="fa-IR"/>
        </w:rPr>
        <w:t>شود که حتی در کشورهايی که مردم در آنها تابع احکام شرعی اسلامی نيستند و ادعای برابری زن و مرد در جميع شؤون می</w:t>
      </w:r>
      <w:r>
        <w:rPr>
          <w:rFonts w:cs="Abz-2 (Badr)" w:hint="cs"/>
          <w:color w:val="000000" w:themeColor="text1"/>
          <w:sz w:val="28"/>
          <w:szCs w:val="28"/>
          <w:cs/>
          <w:lang w:bidi="fa-IR"/>
        </w:rPr>
        <w:t>‎</w:t>
      </w:r>
      <w:r>
        <w:rPr>
          <w:rFonts w:cs="Abz-2 (Badr)" w:hint="cs"/>
          <w:color w:val="000000" w:themeColor="text1"/>
          <w:sz w:val="28"/>
          <w:szCs w:val="28"/>
          <w:rtl/>
          <w:lang w:bidi="fa-IR"/>
        </w:rPr>
        <w:t>شود نيز، تأثيرگذاری مردان در امور اقتصادی چندين برابر زنان است و اقتصاد آن کشورها عملاً توسط مردان اداره می</w:t>
      </w:r>
      <w:r>
        <w:rPr>
          <w:rFonts w:cs="Abz-2 (Badr)" w:hint="cs"/>
          <w:color w:val="000000" w:themeColor="text1"/>
          <w:sz w:val="28"/>
          <w:szCs w:val="28"/>
          <w:cs/>
          <w:lang w:bidi="fa-IR"/>
        </w:rPr>
        <w:t>‎</w:t>
      </w:r>
      <w:r>
        <w:rPr>
          <w:rFonts w:cs="Abz-2 (Badr)" w:hint="cs"/>
          <w:color w:val="000000" w:themeColor="text1"/>
          <w:sz w:val="28"/>
          <w:szCs w:val="28"/>
          <w:rtl/>
          <w:lang w:bidi="fa-IR"/>
        </w:rPr>
        <w:t>شود.</w:t>
      </w:r>
    </w:p>
    <w:p w14:paraId="7786FD93" w14:textId="77777777" w:rsidR="00C253FC" w:rsidRDefault="00C253FC" w:rsidP="00C253FC">
      <w:pPr>
        <w:widowControl w:val="0"/>
        <w:bidi/>
        <w:spacing w:after="0"/>
        <w:ind w:firstLine="284"/>
        <w:jc w:val="both"/>
        <w:rPr>
          <w:rFonts w:cs="Abz-2 (Badr)" w:hint="cs"/>
          <w:color w:val="0070C0"/>
          <w:spacing w:val="-6"/>
          <w:sz w:val="28"/>
          <w:szCs w:val="28"/>
          <w:rtl/>
        </w:rPr>
      </w:pPr>
      <w:r>
        <w:rPr>
          <w:rFonts w:cs="Abz-2 (Badr)" w:hint="cs"/>
          <w:color w:val="000000" w:themeColor="text1"/>
          <w:spacing w:val="-6"/>
          <w:sz w:val="28"/>
          <w:szCs w:val="28"/>
          <w:rtl/>
          <w:lang w:bidi="fa-IR"/>
        </w:rPr>
        <w:t xml:space="preserve">فلذا ابن عاشور گفته است: </w:t>
      </w:r>
      <w:r>
        <w:rPr>
          <w:rFonts w:cs="Abz-2 (Badr)" w:hint="cs"/>
          <w:color w:val="0070C0"/>
          <w:spacing w:val="-6"/>
          <w:sz w:val="28"/>
          <w:szCs w:val="28"/>
          <w:rtl/>
          <w:lang w:bidi="fa-IR"/>
        </w:rPr>
        <w:t>«جي‏ء بصيغة الماضي للإيماء إلى أنّ ذلك أمر قد تقرّر في المجتمعات الإنسانيّة منذ القدم، فالرجال هم العائلون لنساء العائلة من أزواج وبنات.»</w:t>
      </w:r>
      <w:r>
        <w:rPr>
          <w:rFonts w:cs="Abz-2 (Badr)"/>
          <w:sz w:val="30"/>
          <w:szCs w:val="30"/>
          <w:vertAlign w:val="superscript"/>
          <w:rtl/>
        </w:rPr>
        <w:footnoteReference w:id="10"/>
      </w:r>
    </w:p>
    <w:p w14:paraId="10BAE3B8" w14:textId="77777777" w:rsidR="00C253FC" w:rsidRDefault="00C253FC" w:rsidP="00C253FC">
      <w:pPr>
        <w:widowControl w:val="0"/>
        <w:bidi/>
        <w:spacing w:after="0"/>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rPr>
        <w:t>در نتيجه اين آيه دلالتی بر وجوب نفقه زوجه بر زوج ندارد.</w:t>
      </w:r>
    </w:p>
    <w:p w14:paraId="6CBED24C" w14:textId="77777777" w:rsidR="00C253FC" w:rsidRDefault="00C253FC" w:rsidP="00C253FC">
      <w:pPr>
        <w:rPr>
          <w:rFonts w:cs="Abz-2 (Badr)" w:hint="cs"/>
          <w:color w:val="000000" w:themeColor="text1"/>
          <w:spacing w:val="-6"/>
          <w:sz w:val="28"/>
          <w:szCs w:val="28"/>
          <w:rtl/>
          <w:lang w:bidi="fa-IR"/>
        </w:rPr>
      </w:pPr>
      <w:r>
        <w:rPr>
          <w:rFonts w:cs="Abz-2 (Badr)" w:hint="cs"/>
          <w:color w:val="000000" w:themeColor="text1"/>
          <w:spacing w:val="-6"/>
          <w:sz w:val="28"/>
          <w:szCs w:val="28"/>
          <w:rtl/>
          <w:lang w:bidi="fa-IR"/>
        </w:rPr>
        <w:br w:type="page"/>
      </w:r>
    </w:p>
    <w:p w14:paraId="6F96A03F"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lastRenderedPageBreak/>
        <w:t>ننتقل فيما يلي إلى دراسة سائر الآيات التي ادّعي دلالتها على وجوب نفقة الزوجة على الزوج.</w:t>
      </w:r>
    </w:p>
    <w:p w14:paraId="008E8DCC"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lang w:bidi="fa-IR"/>
        </w:rPr>
      </w:pPr>
      <w:bookmarkStart w:id="3" w:name="_Hlk209798859"/>
      <w:r>
        <w:rPr>
          <w:rFonts w:cs="Abz-2 (Badr)" w:hint="cs"/>
          <w:color w:val="00B050"/>
          <w:spacing w:val="-6"/>
          <w:sz w:val="28"/>
          <w:szCs w:val="28"/>
          <w:rtl/>
          <w:lang w:bidi="fa-IR"/>
        </w:rPr>
        <w:t xml:space="preserve">3 ـ </w:t>
      </w:r>
      <w:r>
        <w:rPr>
          <w:rFonts w:cs="QuranTaha" w:hint="cs"/>
          <w:color w:val="BF8F00" w:themeColor="accent4" w:themeShade="BF"/>
          <w:spacing w:val="-6"/>
          <w:sz w:val="26"/>
          <w:szCs w:val="26"/>
          <w:rtl/>
        </w:rPr>
        <w:t>«لِيُنْفِقْ ذُو سَعَةٍ مِنْ سَعَتِهِ وَمَنْ قُدِرَ عَلَيْهِ رِزْقُهُ فَلْيُنْفِقْ مِمَّا آتَاهُ اللَّهُ»</w:t>
      </w:r>
      <w:r>
        <w:rPr>
          <w:rFonts w:cs="Abz-2 (Badr)"/>
          <w:sz w:val="30"/>
          <w:szCs w:val="30"/>
          <w:vertAlign w:val="superscript"/>
          <w:rtl/>
        </w:rPr>
        <w:footnoteReference w:id="11"/>
      </w:r>
      <w:r>
        <w:rPr>
          <w:rFonts w:cs="Abz-2 (Badr)" w:hint="cs"/>
          <w:color w:val="000000" w:themeColor="text1"/>
          <w:spacing w:val="-6"/>
          <w:sz w:val="28"/>
          <w:szCs w:val="28"/>
          <w:rtl/>
        </w:rPr>
        <w:t>.</w:t>
      </w:r>
    </w:p>
    <w:p w14:paraId="77E276CA"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t>غير أنّ التمسّك بهذه الآية لإثبات وجوب نفقة الزوجة غير تامّ، إذ المستفاد منها أنّ من وجبت عليه النفقة، فمقدار ما يلزمه أداؤه يكون على حسب تمكّنه المالي، وأمّا تعيين من تجب عليه النفقة فلا دلالة للآية عليه.</w:t>
      </w:r>
    </w:p>
    <w:p w14:paraId="45F41F9D" w14:textId="77777777" w:rsidR="00C253FC" w:rsidRDefault="00C253FC" w:rsidP="00C253FC">
      <w:pPr>
        <w:widowControl w:val="0"/>
        <w:bidi/>
        <w:spacing w:after="0" w:line="244" w:lineRule="auto"/>
        <w:ind w:firstLine="284"/>
        <w:jc w:val="both"/>
        <w:rPr>
          <w:rFonts w:cs="Abz-2 (Badr)" w:hint="cs"/>
          <w:color w:val="0070C0"/>
          <w:spacing w:val="-6"/>
          <w:sz w:val="28"/>
          <w:szCs w:val="28"/>
          <w:rtl/>
          <w:lang w:bidi="fa-IR"/>
        </w:rPr>
      </w:pPr>
      <w:r>
        <w:rPr>
          <w:rFonts w:cs="Abz-2 (Badr)" w:hint="cs"/>
          <w:color w:val="000000" w:themeColor="text1"/>
          <w:spacing w:val="-6"/>
          <w:sz w:val="28"/>
          <w:szCs w:val="28"/>
          <w:rtl/>
          <w:lang w:bidi="fa-IR"/>
        </w:rPr>
        <w:t xml:space="preserve">فلذا قال الشيخ في التبيان في تفسير الآيه الشريفة: </w:t>
      </w:r>
      <w:r>
        <w:rPr>
          <w:rFonts w:cs="Abz-2 (Badr)" w:hint="cs"/>
          <w:color w:val="0070C0"/>
          <w:spacing w:val="-6"/>
          <w:sz w:val="28"/>
          <w:szCs w:val="28"/>
          <w:rtl/>
          <w:lang w:bidi="fa-IR"/>
        </w:rPr>
        <w:t>«معناه أنّ كلّ إنسان يجب عليه النفقة بحسب حاله، فالغنيّ ينبغي أن يوسّع في النفقة والفقير بحسب حاله.»</w:t>
      </w:r>
      <w:r>
        <w:rPr>
          <w:rFonts w:cs="Abz-2 (Badr)"/>
          <w:sz w:val="30"/>
          <w:szCs w:val="30"/>
          <w:vertAlign w:val="superscript"/>
          <w:rtl/>
        </w:rPr>
        <w:footnoteReference w:id="12"/>
      </w:r>
    </w:p>
    <w:p w14:paraId="416DB58F"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 xml:space="preserve">بل قد ذهب بعضهم استناداً إلى الآية السابقة الواردة في شأن المطلّقات حيث قال تعالى: </w:t>
      </w:r>
      <w:r>
        <w:rPr>
          <w:rFonts w:cs="QuranTaha" w:hint="cs"/>
          <w:color w:val="BF8F00" w:themeColor="accent4" w:themeShade="BF"/>
          <w:spacing w:val="-6"/>
          <w:sz w:val="26"/>
          <w:szCs w:val="26"/>
          <w:rtl/>
          <w:lang w:bidi="fa-IR"/>
        </w:rPr>
        <w:t>«</w:t>
      </w:r>
      <w:r>
        <w:rPr>
          <w:rFonts w:cs="QuranTaha" w:hint="cs"/>
          <w:color w:val="BF8F00" w:themeColor="accent4" w:themeShade="BF"/>
          <w:spacing w:val="-6"/>
          <w:sz w:val="26"/>
          <w:szCs w:val="26"/>
          <w:rtl/>
        </w:rPr>
        <w:t>وَإِنْ كُنَّ أُولَاتِ حَمْلٍ فَأَنْفِقُوا عَلَيْهِنَّ حَتَّىٰ يَضَعْنَ حَمْلَهُنَّ فَإِنْ أَرْضَعْنَ لَكـُمْ فَآتُوهُنَّ أُجُورَهُنَّ»</w:t>
      </w:r>
      <w:r>
        <w:rPr>
          <w:rFonts w:cs="Abz-2 (Badr)"/>
          <w:sz w:val="30"/>
          <w:szCs w:val="30"/>
          <w:vertAlign w:val="superscript"/>
          <w:rtl/>
        </w:rPr>
        <w:footnoteReference w:id="13"/>
      </w:r>
      <w:r>
        <w:rPr>
          <w:rFonts w:cs="Abz-2 (Badr)" w:hint="cs"/>
          <w:color w:val="000000" w:themeColor="text1"/>
          <w:spacing w:val="-6"/>
          <w:sz w:val="28"/>
          <w:szCs w:val="28"/>
          <w:rtl/>
          <w:lang w:bidi="fa-IR"/>
        </w:rPr>
        <w:t xml:space="preserve"> إلى أنّ الحكم المذكور في هذه الآية مختصّ بالمطلّقات اللاتي يرضعن أولادهنّ.</w:t>
      </w:r>
    </w:p>
    <w:p w14:paraId="28DAFB87" w14:textId="77777777" w:rsidR="00C253FC" w:rsidRDefault="00C253FC" w:rsidP="00C253FC">
      <w:pPr>
        <w:widowControl w:val="0"/>
        <w:bidi/>
        <w:spacing w:after="0" w:line="244" w:lineRule="auto"/>
        <w:ind w:firstLine="284"/>
        <w:jc w:val="both"/>
        <w:rPr>
          <w:rFonts w:cs="Abz-2 (Badr)" w:hint="cs"/>
          <w:color w:val="0070C0"/>
          <w:spacing w:val="-6"/>
          <w:sz w:val="28"/>
          <w:szCs w:val="28"/>
          <w:rtl/>
        </w:rPr>
      </w:pPr>
      <w:r>
        <w:rPr>
          <w:rFonts w:cs="Abz-2 (Badr)" w:hint="cs"/>
          <w:color w:val="000000" w:themeColor="text1"/>
          <w:spacing w:val="-6"/>
          <w:sz w:val="28"/>
          <w:szCs w:val="28"/>
          <w:rtl/>
          <w:lang w:bidi="fa-IR"/>
        </w:rPr>
        <w:t xml:space="preserve">قال الرازي في تفسير الآية الشريفة: </w:t>
      </w:r>
      <w:r>
        <w:rPr>
          <w:rFonts w:cs="Abz-2 (Badr)" w:hint="cs"/>
          <w:color w:val="0070C0"/>
          <w:spacing w:val="-6"/>
          <w:sz w:val="28"/>
          <w:szCs w:val="28"/>
          <w:rtl/>
          <w:lang w:bidi="fa-IR"/>
        </w:rPr>
        <w:t>«أمر أهل التوسعة أن يوسّعوا على نسائهم المرضعات على قدر سعتهم، ومن كان رزقه بمقدار القوت، فلينفق على مقدار ذلك‏.»</w:t>
      </w:r>
      <w:r>
        <w:rPr>
          <w:rFonts w:cs="Abz-2 (Badr)"/>
          <w:sz w:val="30"/>
          <w:szCs w:val="30"/>
          <w:vertAlign w:val="superscript"/>
          <w:rtl/>
        </w:rPr>
        <w:footnoteReference w:id="14"/>
      </w:r>
    </w:p>
    <w:p w14:paraId="73F035F1"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 xml:space="preserve">وقال صاحب الميزان: </w:t>
      </w:r>
      <w:r>
        <w:rPr>
          <w:rFonts w:cs="Abz-2 (Badr)" w:hint="cs"/>
          <w:color w:val="0070C0"/>
          <w:spacing w:val="-6"/>
          <w:sz w:val="28"/>
          <w:szCs w:val="28"/>
          <w:rtl/>
          <w:lang w:bidi="fa-IR"/>
        </w:rPr>
        <w:t>«هو أمر لأهل السعة بأن يوسّعوا على نسائهم المطلّقات المرضعات أولادهم.»</w:t>
      </w:r>
      <w:r>
        <w:rPr>
          <w:rFonts w:cs="Abz-2 (Badr)"/>
          <w:sz w:val="30"/>
          <w:szCs w:val="30"/>
          <w:vertAlign w:val="superscript"/>
          <w:rtl/>
        </w:rPr>
        <w:footnoteReference w:id="15"/>
      </w:r>
    </w:p>
    <w:p w14:paraId="61525ED4"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t>ولكن هذا المدّعى غير قابل للالتزام، فإنّه أوّلاً: لو سلّمنا باختصاص الآية بمن ذكر حكمهنّ في الآيات السابقة، لكان مقتضاها اختصاص الحكم بالمطلّقات الحوامل، إذ المطلّقة المرضعة لا تستحقّ النفقة وإنّما تستحقّ الأُجرة. وثانياً: إنّ المورد ليس بمخصّص، فيمكن استفادة حكم عامّ من الآية الشريفة في شأن كلّ من وجبت عليه النفقة، وإن كان قد تقدّم أنّها لا تنهض بتعيين من هو المكلّف بالإنفاق.</w:t>
      </w:r>
    </w:p>
    <w:p w14:paraId="300CC3A8"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lastRenderedPageBreak/>
        <w:t xml:space="preserve">نعم، قد ورد في تفسير هذه الآية الشريفة رواية يمكن الاستناد إليها لإثبات دلالتها على وجوب النفقة، وهي صحيحة ربعي بن عبدالله والفضيل بن يسار جميعاً عن أبي عبدالله(ع): </w:t>
      </w:r>
      <w:r>
        <w:rPr>
          <w:rFonts w:cs="Abz-2 (Badr)" w:hint="cs"/>
          <w:color w:val="70AD47" w:themeColor="accent6"/>
          <w:sz w:val="28"/>
          <w:szCs w:val="28"/>
          <w:rtl/>
        </w:rPr>
        <w:t>«في قوله عزّ وجلّ:</w:t>
      </w:r>
      <w:r>
        <w:rPr>
          <w:rFonts w:cs="Abz-2 (Badr)" w:hint="cs"/>
          <w:color w:val="00B0F0"/>
          <w:spacing w:val="-6"/>
          <w:sz w:val="28"/>
          <w:szCs w:val="28"/>
          <w:rtl/>
          <w:lang w:bidi="ar"/>
        </w:rPr>
        <w:t xml:space="preserve"> </w:t>
      </w:r>
      <w:r>
        <w:rPr>
          <w:rFonts w:cs="QuranTaha" w:hint="cs"/>
          <w:color w:val="BF8F00" w:themeColor="accent4" w:themeShade="BF"/>
          <w:spacing w:val="-6"/>
          <w:sz w:val="26"/>
          <w:szCs w:val="26"/>
          <w:rtl/>
        </w:rPr>
        <w:t>«وَمَنْ قُدِرَ عَلَيْهِ رِزْقُهُ فَلْيُنْفِقْ مِمَّا آتَاهُ اللَّهُ»</w:t>
      </w:r>
      <w:r>
        <w:rPr>
          <w:rFonts w:cs="Abz-2 (Badr)" w:hint="cs"/>
          <w:color w:val="000000" w:themeColor="text1"/>
          <w:spacing w:val="-6"/>
          <w:sz w:val="28"/>
          <w:szCs w:val="28"/>
          <w:rtl/>
          <w:lang w:bidi="ar"/>
        </w:rPr>
        <w:t xml:space="preserve"> </w:t>
      </w:r>
      <w:r>
        <w:rPr>
          <w:rFonts w:cs="Abz-2 (Badr)" w:hint="cs"/>
          <w:color w:val="70AD47" w:themeColor="accent6"/>
          <w:sz w:val="28"/>
          <w:szCs w:val="28"/>
          <w:rtl/>
        </w:rPr>
        <w:t>قال: إن أنفق عليها ما يقيم ظهرها مع كسوة وإلّا فرّق بينهما.»</w:t>
      </w:r>
      <w:r>
        <w:rPr>
          <w:rFonts w:cs="Abz-2 (Badr)"/>
          <w:sz w:val="30"/>
          <w:szCs w:val="30"/>
          <w:vertAlign w:val="superscript"/>
          <w:rtl/>
        </w:rPr>
        <w:footnoteReference w:id="16"/>
      </w:r>
      <w:r>
        <w:rPr>
          <w:rFonts w:cs="Abz-2 (Badr)" w:hint="cs"/>
          <w:color w:val="000000" w:themeColor="text1"/>
          <w:spacing w:val="-6"/>
          <w:sz w:val="28"/>
          <w:szCs w:val="28"/>
          <w:rtl/>
        </w:rPr>
        <w:t>؛ فإنّه معلوم أنّه مع عدم وجوب النفقة على الزوج، لا وجه لحكم الحاكم بالتفريق بين الزوجين بسبب امتناع الزوج عن الإنفاق عليها.</w:t>
      </w:r>
    </w:p>
    <w:p w14:paraId="74BAD94C" w14:textId="77777777" w:rsidR="00C253FC" w:rsidRDefault="00C253FC" w:rsidP="00C253FC">
      <w:pPr>
        <w:widowControl w:val="0"/>
        <w:bidi/>
        <w:spacing w:after="0" w:line="24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t>ومثل هذا المضمون ورد أيضاً في خبر روح بن عبدالرحيم عن أبي عبد الله(ع)</w:t>
      </w:r>
      <w:r>
        <w:rPr>
          <w:rFonts w:cs="Abz-2 (Badr)" w:hint="cs"/>
          <w:sz w:val="30"/>
          <w:szCs w:val="30"/>
          <w:vertAlign w:val="superscript"/>
          <w:rtl/>
        </w:rPr>
        <w:t xml:space="preserve"> </w:t>
      </w:r>
      <w:r>
        <w:rPr>
          <w:rtl/>
        </w:rPr>
        <w:footnoteReference w:id="17"/>
      </w:r>
      <w:r>
        <w:rPr>
          <w:rFonts w:cs="Abz-2 (Badr)" w:hint="cs"/>
          <w:color w:val="000000" w:themeColor="text1"/>
          <w:spacing w:val="-6"/>
          <w:sz w:val="28"/>
          <w:szCs w:val="28"/>
          <w:rtl/>
        </w:rPr>
        <w:t xml:space="preserve"> الوارد في الكافي، وكذا في صحيحة أبي بصير عنه(ع)</w:t>
      </w:r>
      <w:r>
        <w:rPr>
          <w:rFonts w:cs="Abz-2 (Badr)"/>
          <w:sz w:val="30"/>
          <w:szCs w:val="30"/>
          <w:vertAlign w:val="superscript"/>
          <w:rtl/>
        </w:rPr>
        <w:footnoteReference w:id="18"/>
      </w:r>
      <w:r>
        <w:rPr>
          <w:rFonts w:cs="Abz-2 (Badr)" w:hint="cs"/>
          <w:color w:val="000000" w:themeColor="text1"/>
          <w:spacing w:val="-6"/>
          <w:sz w:val="28"/>
          <w:szCs w:val="28"/>
          <w:rtl/>
        </w:rPr>
        <w:t xml:space="preserve"> المنقولة في تفسير عليّ بن إبراهيم.</w:t>
      </w:r>
    </w:p>
    <w:p w14:paraId="3F2F2D93" w14:textId="77777777" w:rsidR="00C253FC" w:rsidRDefault="00C253FC" w:rsidP="00C253FC">
      <w:pPr>
        <w:widowControl w:val="0"/>
        <w:bidi/>
        <w:spacing w:after="0"/>
        <w:ind w:firstLine="284"/>
        <w:jc w:val="both"/>
        <w:rPr>
          <w:rFonts w:cs="Abz-2 (Badr)" w:hint="cs"/>
          <w:color w:val="000000" w:themeColor="text1"/>
          <w:spacing w:val="-6"/>
          <w:sz w:val="28"/>
          <w:szCs w:val="28"/>
          <w:rtl/>
        </w:rPr>
      </w:pPr>
      <w:r>
        <w:rPr>
          <w:rFonts w:cs="Abz-2 (Badr)" w:hint="cs"/>
          <w:color w:val="00B050"/>
          <w:spacing w:val="-6"/>
          <w:sz w:val="28"/>
          <w:szCs w:val="28"/>
          <w:rtl/>
          <w:lang w:bidi="fa-IR"/>
        </w:rPr>
        <w:t>4 ـ</w:t>
      </w:r>
      <w:r>
        <w:rPr>
          <w:rFonts w:cs="Abz-2 (Badr)" w:hint="cs"/>
          <w:color w:val="000000" w:themeColor="text1"/>
          <w:spacing w:val="-6"/>
          <w:sz w:val="28"/>
          <w:szCs w:val="28"/>
          <w:rtl/>
          <w:lang w:bidi="fa-IR"/>
        </w:rPr>
        <w:t xml:space="preserve"> </w:t>
      </w:r>
      <w:r>
        <w:rPr>
          <w:rFonts w:cs="QuranTaha" w:hint="cs"/>
          <w:color w:val="BF8F00" w:themeColor="accent4" w:themeShade="BF"/>
          <w:spacing w:val="-6"/>
          <w:sz w:val="26"/>
          <w:szCs w:val="26"/>
          <w:rtl/>
        </w:rPr>
        <w:t>«الرِّجَالُ قَوَّامُونَ عَلَى النِّسَاءِ بِمَا فَضَّلَ اللَّهُ بَعْضَهُمْ عَلَىٰ بَعْضٍ وَبِمَا أَنْفَقُوا مِنْ أَمْوَالِهِمْ»</w:t>
      </w:r>
      <w:r>
        <w:rPr>
          <w:rFonts w:cs="Abz-2 (Badr)"/>
          <w:sz w:val="30"/>
          <w:szCs w:val="30"/>
          <w:vertAlign w:val="superscript"/>
          <w:rtl/>
        </w:rPr>
        <w:footnoteReference w:id="19"/>
      </w:r>
      <w:r>
        <w:rPr>
          <w:rFonts w:cs="Abz-2 (Badr)" w:hint="cs"/>
          <w:color w:val="000000" w:themeColor="text1"/>
          <w:spacing w:val="-6"/>
          <w:sz w:val="28"/>
          <w:szCs w:val="28"/>
          <w:rtl/>
        </w:rPr>
        <w:t>.</w:t>
      </w:r>
    </w:p>
    <w:p w14:paraId="0FF428B6" w14:textId="77777777" w:rsidR="00C253FC" w:rsidRDefault="00C253FC" w:rsidP="00C253FC">
      <w:pPr>
        <w:widowControl w:val="0"/>
        <w:bidi/>
        <w:spacing w:after="0"/>
        <w:ind w:firstLine="284"/>
        <w:jc w:val="both"/>
        <w:rPr>
          <w:rFonts w:cs="Abz-2 (Badr)" w:hint="cs"/>
          <w:color w:val="000000" w:themeColor="text1"/>
          <w:spacing w:val="-6"/>
          <w:sz w:val="28"/>
          <w:szCs w:val="28"/>
          <w:rtl/>
        </w:rPr>
      </w:pPr>
      <w:r>
        <w:rPr>
          <w:rFonts w:cs="Abz-2 (Badr)" w:hint="cs"/>
          <w:color w:val="000000" w:themeColor="text1"/>
          <w:spacing w:val="-6"/>
          <w:sz w:val="28"/>
          <w:szCs w:val="28"/>
          <w:rtl/>
        </w:rPr>
        <w:t>غير أنّه كما تقدّم في مباحث النشوز، فالمقصود من النفقة في الآية الشريفة ليس النفقة التي وجب على الرجل إعطاؤها شرعاً؛ إذ لو كان الأمر كذلك لما صحّ جعل وجوبها دليلاً على قيمومة الرجال علی النساء، لأنّ علّة وجوب الإنفاق على الرجل هي قيمومته على المرأة، لا أنّ قيمومته ناشئة من وجوب النفقة.</w:t>
      </w:r>
    </w:p>
    <w:p w14:paraId="24CA8C76" w14:textId="77777777" w:rsidR="00C253FC" w:rsidRDefault="00C253FC" w:rsidP="00C253FC">
      <w:pPr>
        <w:widowControl w:val="0"/>
        <w:bidi/>
        <w:spacing w:after="0"/>
        <w:ind w:firstLine="284"/>
        <w:jc w:val="both"/>
        <w:rPr>
          <w:rFonts w:cs="Abz-2 (Badr)" w:hint="cs"/>
          <w:color w:val="000000" w:themeColor="text1"/>
          <w:spacing w:val="-6"/>
          <w:sz w:val="28"/>
          <w:szCs w:val="28"/>
          <w:rtl/>
        </w:rPr>
      </w:pPr>
      <w:r>
        <w:rPr>
          <w:rFonts w:cs="Abz-2 (Badr)" w:hint="cs"/>
          <w:color w:val="000000" w:themeColor="text1"/>
          <w:spacing w:val="-6"/>
          <w:sz w:val="28"/>
          <w:szCs w:val="28"/>
          <w:rtl/>
        </w:rPr>
        <w:t>هذا مضافاً إلى أنّ الآية حينئذٍ تختصّ بعلاقة الزوجين، وهو خلاف ما ذهب إليه بعض المفسّرين من عمومها، إذ يمكن أن يدّعى في غير هذا الفرض أنّ النفقة قد تجب شرعاً على المرأة أيضاً، كما في مورد كونها ذات تمكّن مالي وكان أبوها أو ابنها فقيراً، ولا يمكن حينئذٍ القول بأنّ النفقة واجبة على الرجل مطلقاً.</w:t>
      </w:r>
    </w:p>
    <w:p w14:paraId="097B4324" w14:textId="77777777" w:rsidR="00C253FC" w:rsidRDefault="00C253FC" w:rsidP="00C253FC">
      <w:pPr>
        <w:widowControl w:val="0"/>
        <w:bidi/>
        <w:spacing w:after="0"/>
        <w:ind w:firstLine="284"/>
        <w:jc w:val="both"/>
        <w:rPr>
          <w:rFonts w:cs="Abz-2 (Badr)" w:hint="cs"/>
          <w:color w:val="000000" w:themeColor="text1"/>
          <w:spacing w:val="-6"/>
          <w:sz w:val="28"/>
          <w:szCs w:val="28"/>
          <w:rtl/>
          <w:lang w:bidi="fa-IR"/>
        </w:rPr>
      </w:pPr>
      <w:r>
        <w:rPr>
          <w:rFonts w:cs="Abz-2 (Badr)" w:hint="cs"/>
          <w:color w:val="000000" w:themeColor="text1"/>
          <w:sz w:val="28"/>
          <w:szCs w:val="28"/>
          <w:rtl/>
        </w:rPr>
        <w:t xml:space="preserve">وعليه فالمقصود من هذه العبارة أنّ تأثير الرجال في الشؤون الاقتصاديّة بطبعهم أشدّ من تأثير النساء، وأنّ الرجال هم الذين يتولّون إدارة الأُمور الاقتصاديّة عادةً. ولأجل ذلك يقال: إنّه حتّى في البلدان التي لا يلتزم أهلها بالأحكام الشرعيّة الإسلاميّة ويدّعون المساواة التامّة بين الرجل والمرأة في جميع المجالات، يبقى تأثير الرجال في الاقتصاد أضعاف تأثير </w:t>
      </w:r>
      <w:r>
        <w:rPr>
          <w:rFonts w:cs="Abz-2 (Badr)" w:hint="cs"/>
          <w:color w:val="000000" w:themeColor="text1"/>
          <w:sz w:val="28"/>
          <w:szCs w:val="28"/>
          <w:rtl/>
        </w:rPr>
        <w:lastRenderedPageBreak/>
        <w:t>النساء، ويكون الاقتصاد فيها عمليّاً بيد الرجال</w:t>
      </w:r>
      <w:r>
        <w:rPr>
          <w:rFonts w:cs="Abz-2 (Badr)" w:hint="cs"/>
          <w:color w:val="000000" w:themeColor="text1"/>
          <w:sz w:val="28"/>
          <w:szCs w:val="28"/>
          <w:rtl/>
          <w:lang w:bidi="fa-IR"/>
        </w:rPr>
        <w:t>.</w:t>
      </w:r>
    </w:p>
    <w:p w14:paraId="58CB7F5D" w14:textId="77777777" w:rsidR="00C253FC" w:rsidRDefault="00C253FC" w:rsidP="00C253FC">
      <w:pPr>
        <w:widowControl w:val="0"/>
        <w:bidi/>
        <w:spacing w:after="0"/>
        <w:ind w:firstLine="284"/>
        <w:jc w:val="both"/>
        <w:rPr>
          <w:rFonts w:cs="Abz-2 (Badr)" w:hint="cs"/>
          <w:color w:val="0070C0"/>
          <w:spacing w:val="-6"/>
          <w:sz w:val="28"/>
          <w:szCs w:val="28"/>
          <w:rtl/>
        </w:rPr>
      </w:pPr>
      <w:r>
        <w:rPr>
          <w:rFonts w:cs="Abz-2 (Badr)" w:hint="cs"/>
          <w:color w:val="000000" w:themeColor="text1"/>
          <w:spacing w:val="-6"/>
          <w:sz w:val="28"/>
          <w:szCs w:val="28"/>
          <w:rtl/>
          <w:lang w:bidi="fa-IR"/>
        </w:rPr>
        <w:t xml:space="preserve">فلذا قال ابن عاشور في تفسيرها: </w:t>
      </w:r>
      <w:r>
        <w:rPr>
          <w:rFonts w:cs="Abz-2 (Badr)" w:hint="cs"/>
          <w:color w:val="0070C0"/>
          <w:spacing w:val="-6"/>
          <w:sz w:val="28"/>
          <w:szCs w:val="28"/>
          <w:rtl/>
          <w:lang w:bidi="fa-IR"/>
        </w:rPr>
        <w:t>«جي‏ء بصيغة الماضي للإيماء إلى أنّ ذلك أمر قد تقرّر في المجتمعات الإنسانيّة منذ القدم، فالرجال هم العائلون لنساء العائلة من أزواج وبنات.»</w:t>
      </w:r>
      <w:r>
        <w:rPr>
          <w:rFonts w:cs="Abz-2 (Badr)"/>
          <w:sz w:val="30"/>
          <w:szCs w:val="30"/>
          <w:vertAlign w:val="superscript"/>
          <w:rtl/>
        </w:rPr>
        <w:footnoteReference w:id="20"/>
      </w:r>
    </w:p>
    <w:p w14:paraId="11E1F0F9" w14:textId="77777777" w:rsidR="00C253FC" w:rsidRDefault="00C253FC" w:rsidP="00C253FC">
      <w:pPr>
        <w:widowControl w:val="0"/>
        <w:bidi/>
        <w:spacing w:after="0"/>
        <w:ind w:firstLine="284"/>
        <w:jc w:val="both"/>
        <w:rPr>
          <w:rFonts w:cs="Abz-2 (Badr)" w:hint="cs"/>
          <w:color w:val="000000" w:themeColor="text1"/>
          <w:spacing w:val="-6"/>
          <w:sz w:val="28"/>
          <w:szCs w:val="28"/>
          <w:rtl/>
        </w:rPr>
      </w:pPr>
      <w:r>
        <w:rPr>
          <w:rFonts w:cs="Abz-2 (Badr)" w:hint="cs"/>
          <w:color w:val="000000" w:themeColor="text1"/>
          <w:spacing w:val="-6"/>
          <w:sz w:val="28"/>
          <w:szCs w:val="28"/>
          <w:rtl/>
        </w:rPr>
        <w:t>فلا دلالة للآية الشريفة على وجوب نفقة الزوجة على الزوج.</w:t>
      </w:r>
      <w:bookmarkEnd w:id="3"/>
    </w:p>
    <w:p w14:paraId="2AD04477" w14:textId="7D63A4A4" w:rsidR="00B706A3" w:rsidRPr="00C253FC" w:rsidRDefault="00B706A3" w:rsidP="00C253FC">
      <w:pPr>
        <w:rPr>
          <w:rtl/>
        </w:rPr>
      </w:pPr>
    </w:p>
    <w:sectPr w:rsidR="00B706A3" w:rsidRPr="00C253FC"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D6168" w14:textId="77777777" w:rsidR="00FE1F2E" w:rsidRDefault="00FE1F2E" w:rsidP="00F71127">
      <w:pPr>
        <w:spacing w:after="0" w:line="240" w:lineRule="auto"/>
      </w:pPr>
      <w:r>
        <w:separator/>
      </w:r>
    </w:p>
  </w:endnote>
  <w:endnote w:type="continuationSeparator" w:id="0">
    <w:p w14:paraId="39CD0257" w14:textId="77777777" w:rsidR="00FE1F2E" w:rsidRDefault="00FE1F2E"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49C1" w14:textId="77777777" w:rsidR="00C64E5C" w:rsidRDefault="00C64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24F3" w14:textId="77777777" w:rsidR="00C64E5C" w:rsidRDefault="00C6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D1F00" w14:textId="77777777" w:rsidR="00FE1F2E" w:rsidRDefault="00FE1F2E" w:rsidP="00EE25C0">
      <w:pPr>
        <w:bidi/>
        <w:spacing w:after="0" w:line="240" w:lineRule="auto"/>
      </w:pPr>
      <w:r>
        <w:separator/>
      </w:r>
    </w:p>
  </w:footnote>
  <w:footnote w:type="continuationSeparator" w:id="0">
    <w:p w14:paraId="59F79CA2" w14:textId="77777777" w:rsidR="00FE1F2E" w:rsidRDefault="00FE1F2E" w:rsidP="00F71127">
      <w:pPr>
        <w:bidi/>
        <w:spacing w:after="0" w:line="240" w:lineRule="auto"/>
      </w:pPr>
      <w:r>
        <w:continuationSeparator/>
      </w:r>
    </w:p>
  </w:footnote>
  <w:footnote w:id="1">
    <w:p w14:paraId="23E6404C"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الطلاق(65):7.</w:t>
      </w:r>
    </w:p>
  </w:footnote>
  <w:footnote w:id="2">
    <w:p w14:paraId="533D7428"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التبيان،ج</w:t>
      </w:r>
      <w:r>
        <w:rPr>
          <w:rFonts w:cs="Abz-2 (Badr)" w:hint="cs"/>
          <w:rtl/>
          <w:lang w:bidi="fa-IR"/>
        </w:rPr>
        <w:t>10،ص37.</w:t>
      </w:r>
    </w:p>
  </w:footnote>
  <w:footnote w:id="3">
    <w:p w14:paraId="779E067C"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ـ الطلاق(65):6.</w:t>
      </w:r>
    </w:p>
  </w:footnote>
  <w:footnote w:id="4">
    <w:p w14:paraId="046BA8BB"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مفاتيح الغيب،ج</w:t>
      </w:r>
      <w:r>
        <w:rPr>
          <w:rFonts w:cs="Abz-2 (Badr)" w:hint="cs"/>
          <w:rtl/>
          <w:lang w:bidi="fa-IR"/>
        </w:rPr>
        <w:t>30،ص564.</w:t>
      </w:r>
    </w:p>
  </w:footnote>
  <w:footnote w:id="5">
    <w:p w14:paraId="3134ADC8"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ـ الميزان،ج</w:t>
      </w:r>
      <w:r>
        <w:rPr>
          <w:rFonts w:cs="Abz-2 (Badr)" w:hint="cs"/>
          <w:rtl/>
          <w:lang w:bidi="fa-IR"/>
        </w:rPr>
        <w:t>19،ص317.</w:t>
      </w:r>
    </w:p>
  </w:footnote>
  <w:footnote w:id="6">
    <w:p w14:paraId="4CFB8CB3"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 xml:space="preserve">ـ </w:t>
      </w:r>
      <w:bookmarkStart w:id="2" w:name="_Hlk209523320"/>
      <w:r>
        <w:rPr>
          <w:rFonts w:cs="Abz-2 (Badr)" w:hint="cs"/>
          <w:rtl/>
        </w:rPr>
        <w:t>من لا يحضره الفقيه،ج3،ص441،ح4530 ـ وسائل الشيعة،ج21،ص509، الباب 1 من أبواب النفقات،ح1</w:t>
      </w:r>
      <w:bookmarkEnd w:id="2"/>
      <w:r>
        <w:rPr>
          <w:rFonts w:cs="Abz-2 (Badr)" w:hint="cs"/>
          <w:rtl/>
        </w:rPr>
        <w:t>.</w:t>
      </w:r>
    </w:p>
  </w:footnote>
  <w:footnote w:id="7">
    <w:p w14:paraId="69518DF6"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کافی،ج5،ص512،ح7 ـ وسائل الشيعة، همان،ص511،ح6.</w:t>
      </w:r>
    </w:p>
  </w:footnote>
  <w:footnote w:id="8">
    <w:p w14:paraId="78BFF586"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تفسير قمی،ج2،ص375 ـ وسائل الشيعة، همان،ص512،ح12.</w:t>
      </w:r>
    </w:p>
  </w:footnote>
  <w:footnote w:id="9">
    <w:p w14:paraId="773B09BE"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النساء(4):34.</w:t>
      </w:r>
    </w:p>
  </w:footnote>
  <w:footnote w:id="10">
    <w:p w14:paraId="2EF1A5CD"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التحرير والتنوير،ج4،ص114.</w:t>
      </w:r>
    </w:p>
  </w:footnote>
  <w:footnote w:id="11">
    <w:p w14:paraId="077272FB"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w:t>
      </w:r>
      <w:r>
        <w:rPr>
          <w:rFonts w:cs="Abz-2 (Badr)" w:hint="cs"/>
          <w:rtl/>
        </w:rPr>
        <w:t>ـ الطلاق(65):7.</w:t>
      </w:r>
    </w:p>
  </w:footnote>
  <w:footnote w:id="12">
    <w:p w14:paraId="4CB1C1ED"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التبيان،ج</w:t>
      </w:r>
      <w:r>
        <w:rPr>
          <w:rFonts w:cs="Abz-2 (Badr)" w:hint="cs"/>
          <w:rtl/>
          <w:lang w:bidi="fa-IR"/>
        </w:rPr>
        <w:t>10،ص37.</w:t>
      </w:r>
    </w:p>
  </w:footnote>
  <w:footnote w:id="13">
    <w:p w14:paraId="5A698A85"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ـ الطلاق(65):6.</w:t>
      </w:r>
    </w:p>
  </w:footnote>
  <w:footnote w:id="14">
    <w:p w14:paraId="1DF3FFF6"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مفاتيح الغيب،ج</w:t>
      </w:r>
      <w:r>
        <w:rPr>
          <w:rFonts w:cs="Abz-2 (Badr)" w:hint="cs"/>
          <w:rtl/>
          <w:lang w:bidi="fa-IR"/>
        </w:rPr>
        <w:t>30،ص564.</w:t>
      </w:r>
    </w:p>
  </w:footnote>
  <w:footnote w:id="15">
    <w:p w14:paraId="34AF4C92"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ـ الميزان،ج</w:t>
      </w:r>
      <w:r>
        <w:rPr>
          <w:rFonts w:cs="Abz-2 (Badr)" w:hint="cs"/>
          <w:rtl/>
          <w:lang w:bidi="fa-IR"/>
        </w:rPr>
        <w:t>19،ص317.</w:t>
      </w:r>
    </w:p>
  </w:footnote>
  <w:footnote w:id="16">
    <w:p w14:paraId="44194C77" w14:textId="77777777" w:rsidR="00C253FC" w:rsidRDefault="00C253FC" w:rsidP="00C253FC">
      <w:pPr>
        <w:pStyle w:val="FootnoteText"/>
        <w:bidi/>
        <w:rPr>
          <w:rFonts w:cs="Abz-2 (Badr)"/>
          <w:lang w:bidi="fa-IR"/>
        </w:rPr>
      </w:pPr>
      <w:r>
        <w:rPr>
          <w:rStyle w:val="FootnoteReference"/>
          <w:rFonts w:cs="Abz-2 (Badr)"/>
        </w:rPr>
        <w:footnoteRef/>
      </w:r>
      <w:r>
        <w:rPr>
          <w:rFonts w:cs="Abz-2 (Badr)" w:hint="cs"/>
          <w:rtl/>
        </w:rPr>
        <w:t xml:space="preserve"> </w:t>
      </w:r>
      <w:r>
        <w:rPr>
          <w:rFonts w:cs="Abz-2 (Badr)" w:hint="cs"/>
          <w:rtl/>
        </w:rPr>
        <w:t>ـ من لا يحضره الفقيه،ج3،ص441،ح4530 ـ وسائل الشيعة،ج21،ص509، الباب 1 من أبواب النفقات،ح1.</w:t>
      </w:r>
    </w:p>
  </w:footnote>
  <w:footnote w:id="17">
    <w:p w14:paraId="19973964"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الکافي،ج5،ص512،ح7 ـ وسائل الشيعة، همان،ص511،ح6.</w:t>
      </w:r>
    </w:p>
  </w:footnote>
  <w:footnote w:id="18">
    <w:p w14:paraId="598161BB"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تفسير القمي،ج2،ص375 ـ وسائل الشيعة، همان،ص512،ح12.</w:t>
      </w:r>
    </w:p>
  </w:footnote>
  <w:footnote w:id="19">
    <w:p w14:paraId="538F29CF"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النساء(4):34.</w:t>
      </w:r>
    </w:p>
  </w:footnote>
  <w:footnote w:id="20">
    <w:p w14:paraId="3643D31A" w14:textId="77777777" w:rsidR="00C253FC" w:rsidRDefault="00C253FC" w:rsidP="00C253FC">
      <w:pPr>
        <w:pStyle w:val="FootnoteText"/>
        <w:bidi/>
        <w:rPr>
          <w:rFonts w:cs="Abz-2 (Badr)" w:hint="cs"/>
          <w:rtl/>
          <w:lang w:bidi="fa-IR"/>
        </w:rPr>
      </w:pPr>
      <w:r>
        <w:rPr>
          <w:rStyle w:val="FootnoteReference"/>
          <w:rFonts w:cs="Abz-2 (Badr)"/>
        </w:rPr>
        <w:footnoteRef/>
      </w:r>
      <w:r>
        <w:rPr>
          <w:rFonts w:cs="Abz-2 (Badr)" w:hint="cs"/>
          <w:rtl/>
        </w:rPr>
        <w:t xml:space="preserve"> ـ </w:t>
      </w:r>
      <w:r>
        <w:rPr>
          <w:rFonts w:cs="Abz-2 (Badr)" w:hint="cs"/>
          <w:rtl/>
        </w:rPr>
        <w:t>التحرير والتنوير،ج4،ص114.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768E" w14:textId="77777777" w:rsidR="00C64E5C" w:rsidRDefault="00C64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A73A90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شنبه</w:t>
                          </w:r>
                          <w:r>
                            <w:rPr>
                              <w:rFonts w:cs="B Mehr" w:hint="cs"/>
                              <w:rtl/>
                              <w:lang w:bidi="fa-IR"/>
                            </w:rPr>
                            <w:t xml:space="preserve"> </w:t>
                          </w:r>
                          <w:r>
                            <w:rPr>
                              <w:rFonts w:cs="B Mehr" w:hint="cs"/>
                              <w:rtl/>
                            </w:rPr>
                            <w:t xml:space="preserve">،   </w:t>
                          </w:r>
                          <w:r w:rsidR="00C253FC">
                            <w:rPr>
                              <w:rFonts w:cs="B Mehr" w:hint="cs"/>
                              <w:rtl/>
                              <w:lang w:bidi="fa-IR"/>
                            </w:rPr>
                            <w:t xml:space="preserve">5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A73A90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شنبه</w:t>
                    </w:r>
                    <w:r>
                      <w:rPr>
                        <w:rFonts w:cs="B Mehr" w:hint="cs"/>
                        <w:rtl/>
                        <w:lang w:bidi="fa-IR"/>
                      </w:rPr>
                      <w:t xml:space="preserve"> </w:t>
                    </w:r>
                    <w:r>
                      <w:rPr>
                        <w:rFonts w:cs="B Mehr" w:hint="cs"/>
                        <w:rtl/>
                      </w:rPr>
                      <w:t xml:space="preserve">،   </w:t>
                    </w:r>
                    <w:r w:rsidR="00C253FC">
                      <w:rPr>
                        <w:rFonts w:cs="B Mehr" w:hint="cs"/>
                        <w:rtl/>
                        <w:lang w:bidi="fa-IR"/>
                      </w:rPr>
                      <w:t xml:space="preserve">5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148" w14:textId="77777777" w:rsidR="00C64E5C" w:rsidRDefault="00C64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21723</TotalTime>
  <Pages>1</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600</cp:revision>
  <cp:lastPrinted>2025-04-14T09:12:00Z</cp:lastPrinted>
  <dcterms:created xsi:type="dcterms:W3CDTF">2022-10-16T08:36:00Z</dcterms:created>
  <dcterms:modified xsi:type="dcterms:W3CDTF">2025-09-27T09:58:00Z</dcterms:modified>
</cp:coreProperties>
</file>