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2A51A0" w:rsidRDefault="00F842AD" w:rsidP="001B3BB1">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F82994">
        <w:rPr>
          <w:rtl/>
        </w:rPr>
        <w:t>كتاب الإجارة</w:t>
      </w:r>
      <w:r w:rsidR="00724537">
        <w:rPr>
          <w:rFonts w:hint="cs"/>
          <w:rtl/>
        </w:rPr>
        <w:t>/</w:t>
      </w:r>
      <w:bookmarkStart w:id="2" w:name="BokSabj_d"/>
      <w:bookmarkEnd w:id="2"/>
      <w:r w:rsidR="00F82994">
        <w:rPr>
          <w:rtl/>
        </w:rPr>
        <w:t>أركان الإجارة</w:t>
      </w:r>
      <w:r w:rsidR="00596C1E">
        <w:rPr>
          <w:rFonts w:hint="cs"/>
          <w:rtl/>
        </w:rPr>
        <w:t xml:space="preserve"> </w:t>
      </w:r>
      <w:r w:rsidR="00724537">
        <w:rPr>
          <w:rFonts w:hint="cs"/>
          <w:rtl/>
        </w:rPr>
        <w:t>/</w:t>
      </w:r>
      <w:bookmarkStart w:id="3" w:name="BokSabj2_d"/>
      <w:bookmarkEnd w:id="3"/>
      <w:r w:rsidR="00F82994">
        <w:rPr>
          <w:rtl/>
        </w:rPr>
        <w:t xml:space="preserve">شرط عقل </w:t>
      </w:r>
      <w:r w:rsidR="001B3BB1">
        <w:rPr>
          <w:rFonts w:hint="cs"/>
          <w:rtl/>
        </w:rPr>
        <w:t xml:space="preserve">و اختیار </w:t>
      </w:r>
      <w:r w:rsidR="00F82994">
        <w:rPr>
          <w:rtl/>
        </w:rPr>
        <w:t>در متعاقد</w:t>
      </w:r>
      <w:r w:rsidR="00F82994">
        <w:rPr>
          <w:rFonts w:hint="cs"/>
          <w:rtl/>
        </w:rPr>
        <w:t>ین</w:t>
      </w:r>
      <w:r w:rsidR="001B6799">
        <w:rPr>
          <w:rFonts w:hint="cs"/>
          <w:rtl/>
        </w:rPr>
        <w:t xml:space="preserve"> </w:t>
      </w:r>
    </w:p>
    <w:p w:rsidR="00233DC4" w:rsidRDefault="00A07B62" w:rsidP="001B3BB1">
      <w:pPr>
        <w:spacing w:line="480" w:lineRule="auto"/>
        <w:rPr>
          <w:rtl/>
        </w:rPr>
      </w:pPr>
      <w:bookmarkStart w:id="4" w:name="StartCurserPos"/>
      <w:r w:rsidRPr="00DD4CF8">
        <w:rPr>
          <w:rFonts w:hint="cs"/>
          <w:color w:val="FF0000"/>
          <w:rtl/>
        </w:rPr>
        <w:t>تکمله:</w:t>
      </w:r>
      <w:r>
        <w:rPr>
          <w:rFonts w:hint="cs"/>
          <w:rtl/>
        </w:rPr>
        <w:t xml:space="preserve"> موضوع بحث جلسه</w:t>
      </w:r>
      <w:r>
        <w:rPr>
          <w:rFonts w:hint="cs"/>
          <w:rtl/>
          <w:cs/>
        </w:rPr>
        <w:t>‎ی امروز راجع به شرط دوم از شروط متعاقدین یعنی شرط عقل است، بحث قبلی در شرط اول از شرائط متعاقدین بود، در شرط اول «بلوغ» مطرح شد، ولی</w:t>
      </w:r>
      <w:r w:rsidR="00DD4CF8">
        <w:rPr>
          <w:rFonts w:hint="cs"/>
          <w:rtl/>
        </w:rPr>
        <w:t xml:space="preserve"> لازم دانستیم نکته</w:t>
      </w:r>
      <w:r w:rsidR="00DD4CF8">
        <w:rPr>
          <w:rFonts w:hint="cs"/>
          <w:rtl/>
          <w:cs/>
        </w:rPr>
        <w:t>‎ای را به عنوان تکمله بر شرط اول اضافه کنیم، به طور مفصّل راجع به علائم بلوغ پسران و دخترا</w:t>
      </w:r>
      <w:r w:rsidR="00DD4CF8">
        <w:rPr>
          <w:rFonts w:hint="cs"/>
          <w:rtl/>
        </w:rPr>
        <w:t>ن مباحثی مطرح شد؛</w:t>
      </w:r>
      <w:r>
        <w:rPr>
          <w:rFonts w:hint="cs"/>
          <w:rtl/>
        </w:rPr>
        <w:t xml:space="preserve"> برای بلوغ پسران چهار علامت </w:t>
      </w:r>
      <w:r w:rsidR="00DD4CF8">
        <w:rPr>
          <w:rFonts w:hint="cs"/>
          <w:rtl/>
        </w:rPr>
        <w:t xml:space="preserve">ذکر شد؛ از جهت معیار سنّی پانزده سال </w:t>
      </w:r>
      <w:r w:rsidR="009370F5">
        <w:rPr>
          <w:rFonts w:hint="cs"/>
          <w:rtl/>
        </w:rPr>
        <w:t xml:space="preserve">قمری </w:t>
      </w:r>
      <w:r w:rsidR="00DD4CF8">
        <w:rPr>
          <w:rFonts w:hint="cs"/>
          <w:rtl/>
        </w:rPr>
        <w:t>و از جهت معیار جسمی</w:t>
      </w:r>
      <w:r w:rsidR="009370F5">
        <w:rPr>
          <w:rFonts w:hint="cs"/>
          <w:rtl/>
        </w:rPr>
        <w:t>،</w:t>
      </w:r>
      <w:r w:rsidR="00DD4CF8">
        <w:rPr>
          <w:rFonts w:hint="cs"/>
          <w:rtl/>
        </w:rPr>
        <w:t xml:space="preserve"> احتلام و روییدن</w:t>
      </w:r>
      <w:r w:rsidR="009370F5">
        <w:rPr>
          <w:rFonts w:hint="cs"/>
          <w:rtl/>
        </w:rPr>
        <w:t xml:space="preserve"> ریش بر صورت و روییدن موی خشن در</w:t>
      </w:r>
      <w:r w:rsidR="00DD4CF8">
        <w:rPr>
          <w:rFonts w:hint="cs"/>
          <w:rtl/>
        </w:rPr>
        <w:t xml:space="preserve"> اطراف آلت</w:t>
      </w:r>
      <w:r w:rsidR="009370F5">
        <w:rPr>
          <w:rFonts w:hint="cs"/>
          <w:rtl/>
        </w:rPr>
        <w:t xml:space="preserve">؛ برای بلوغ دختران سه علامت ذکر شد؛ از جهت معیار سنّی نه سال قمری و از جهت معیار جسمی، احتلام( و روییدن موی بلوغ در اطراف </w:t>
      </w:r>
      <w:r w:rsidR="001B3BB1">
        <w:rPr>
          <w:rFonts w:hint="cs"/>
          <w:rtl/>
        </w:rPr>
        <w:t>فرج</w:t>
      </w:r>
      <w:r w:rsidR="009370F5">
        <w:rPr>
          <w:rFonts w:hint="cs"/>
          <w:rtl/>
        </w:rPr>
        <w:t>) و رؤیت خون حیض.</w:t>
      </w:r>
    </w:p>
    <w:p w:rsidR="00233DC4" w:rsidRDefault="00233DC4" w:rsidP="001B3BB1">
      <w:pPr>
        <w:spacing w:line="480" w:lineRule="auto"/>
        <w:rPr>
          <w:rtl/>
        </w:rPr>
      </w:pPr>
      <w:r>
        <w:rPr>
          <w:rFonts w:hint="cs"/>
          <w:rtl/>
        </w:rPr>
        <w:t>در اثبات این مدعا</w:t>
      </w:r>
      <w:r w:rsidR="001B3BB1">
        <w:rPr>
          <w:rFonts w:hint="cs"/>
          <w:rtl/>
        </w:rPr>
        <w:t>،</w:t>
      </w:r>
      <w:r>
        <w:rPr>
          <w:rFonts w:hint="cs"/>
          <w:rtl/>
        </w:rPr>
        <w:t xml:space="preserve"> هم به روایات استشهاد شد و هم به </w:t>
      </w:r>
      <w:r w:rsidR="00E12E7B">
        <w:rPr>
          <w:rFonts w:hint="cs"/>
          <w:rtl/>
        </w:rPr>
        <w:t>اتفاق</w:t>
      </w:r>
      <w:r>
        <w:rPr>
          <w:rFonts w:hint="cs"/>
          <w:rtl/>
        </w:rPr>
        <w:t xml:space="preserve"> فقهاء، یکی از استشهادات</w:t>
      </w:r>
      <w:r w:rsidR="008A69E4">
        <w:rPr>
          <w:rFonts w:hint="cs"/>
          <w:rtl/>
        </w:rPr>
        <w:t>،</w:t>
      </w:r>
      <w:r>
        <w:rPr>
          <w:rFonts w:hint="cs"/>
          <w:rtl/>
        </w:rPr>
        <w:t xml:space="preserve"> </w:t>
      </w:r>
      <w:r w:rsidR="008A69E4">
        <w:rPr>
          <w:rFonts w:hint="cs"/>
          <w:rtl/>
        </w:rPr>
        <w:t xml:space="preserve">جریان غزوه بنی قریظة بود که در آن حکمیت سعد بن معاذ پذیرفته شد و مورد تأیید رسول خدا(ص) قرار گرفت، یکی از احکامی که سعد بن معاذ در این جریان صادر کرده بود این بود که </w:t>
      </w:r>
      <w:r w:rsidR="0071740A">
        <w:rPr>
          <w:rFonts w:hint="cs"/>
          <w:rtl/>
        </w:rPr>
        <w:t>بین اسراء،</w:t>
      </w:r>
      <w:r w:rsidR="008A69E4">
        <w:rPr>
          <w:rFonts w:hint="cs"/>
          <w:rtl/>
        </w:rPr>
        <w:t xml:space="preserve"> پسر بچه</w:t>
      </w:r>
      <w:r w:rsidR="008A69E4">
        <w:rPr>
          <w:rFonts w:hint="cs"/>
          <w:rtl/>
          <w:cs/>
        </w:rPr>
        <w:t>‎های مشکوک به بلوغ مورد معاینه قرار گرفتند و اگر در اطراف عانه‎ی آنها موی خشن روییده بود در ردیف مردان محارب قرار گرفتند و کشته شدند و إلا در گروه اولاد و ذریّه واقع شدند.</w:t>
      </w:r>
    </w:p>
    <w:p w:rsidR="002D6F69" w:rsidRPr="002D6F69" w:rsidRDefault="009370F5" w:rsidP="001B3BB1">
      <w:pPr>
        <w:spacing w:line="480" w:lineRule="auto"/>
        <w:rPr>
          <w:color w:val="000080"/>
          <w:rtl/>
        </w:rPr>
      </w:pPr>
      <w:r>
        <w:rPr>
          <w:rFonts w:hint="cs"/>
          <w:rtl/>
        </w:rPr>
        <w:t>مرحوم علامه در کتاب «تذکرة</w:t>
      </w:r>
      <w:r w:rsidR="002D6F69">
        <w:rPr>
          <w:rFonts w:hint="cs"/>
          <w:rtl/>
        </w:rPr>
        <w:t xml:space="preserve"> الفقهاء</w:t>
      </w:r>
      <w:r>
        <w:rPr>
          <w:rFonts w:hint="cs"/>
          <w:rtl/>
        </w:rPr>
        <w:t xml:space="preserve">» </w:t>
      </w:r>
      <w:r w:rsidR="00A84BBB">
        <w:rPr>
          <w:rFonts w:hint="cs"/>
          <w:rtl/>
        </w:rPr>
        <w:t>قیدی</w:t>
      </w:r>
      <w:r>
        <w:rPr>
          <w:rFonts w:hint="cs"/>
          <w:rtl/>
        </w:rPr>
        <w:t xml:space="preserve"> فرموده‏اند و ما این تکمله را به این جهت بیان می</w:t>
      </w:r>
      <w:r>
        <w:rPr>
          <w:rFonts w:hint="cs"/>
          <w:rtl/>
          <w:cs/>
        </w:rPr>
        <w:t>‎</w:t>
      </w:r>
      <w:r w:rsidR="002D6F69">
        <w:rPr>
          <w:rFonts w:hint="cs"/>
          <w:rtl/>
          <w:cs/>
        </w:rPr>
        <w:t>کنیم: «</w:t>
      </w:r>
      <w:r w:rsidR="002D6F69" w:rsidRPr="002D6F69">
        <w:rPr>
          <w:color w:val="000080"/>
          <w:rtl/>
        </w:rPr>
        <w:t>والإنبات مختصّ بشعر العان</w:t>
      </w:r>
      <w:r w:rsidR="002D6F69">
        <w:rPr>
          <w:color w:val="000080"/>
          <w:rtl/>
        </w:rPr>
        <w:t>ة الخشن</w:t>
      </w:r>
      <w:r w:rsidR="002D6F69" w:rsidRPr="002D6F69">
        <w:rPr>
          <w:color w:val="000080"/>
          <w:rtl/>
        </w:rPr>
        <w:t>، ولا اعتبار بالزغب والشع</w:t>
      </w:r>
      <w:r w:rsidR="00C44656">
        <w:rPr>
          <w:color w:val="000080"/>
          <w:rtl/>
        </w:rPr>
        <w:t>رِ الضعيف الذي قد يوجد في الصغر</w:t>
      </w:r>
      <w:r w:rsidR="002D6F69" w:rsidRPr="002D6F69">
        <w:rPr>
          <w:color w:val="000080"/>
          <w:rtl/>
        </w:rPr>
        <w:t xml:space="preserve">، بل بالخشن الذي يحتاج في إزالته إلى الحلق حول ذكر الرجل أو فرج المرأة. </w:t>
      </w:r>
    </w:p>
    <w:p w:rsidR="009370F5" w:rsidRDefault="002D6F69" w:rsidP="001B3BB1">
      <w:pPr>
        <w:spacing w:line="480" w:lineRule="auto"/>
        <w:rPr>
          <w:rtl/>
        </w:rPr>
      </w:pPr>
      <w:r w:rsidRPr="002D6F69">
        <w:rPr>
          <w:color w:val="000080"/>
          <w:rtl/>
        </w:rPr>
        <w:lastRenderedPageBreak/>
        <w:t>ونبات هذا الشعر الخشن يقتضي الحكم بالبلوغ</w:t>
      </w:r>
      <w:r>
        <w:rPr>
          <w:rtl/>
        </w:rPr>
        <w:t>.</w:t>
      </w:r>
      <w:r>
        <w:rPr>
          <w:rFonts w:hint="cs"/>
          <w:rtl/>
        </w:rPr>
        <w:t>»</w:t>
      </w:r>
      <w:r>
        <w:rPr>
          <w:rStyle w:val="FootnoteReference"/>
          <w:rtl/>
        </w:rPr>
        <w:footnoteReference w:id="1"/>
      </w:r>
    </w:p>
    <w:p w:rsidR="004E354D" w:rsidRDefault="00C44656" w:rsidP="001B3BB1">
      <w:pPr>
        <w:spacing w:line="480" w:lineRule="auto"/>
        <w:rPr>
          <w:rtl/>
        </w:rPr>
      </w:pPr>
      <w:r w:rsidRPr="00C44656">
        <w:rPr>
          <w:rFonts w:hint="cs"/>
          <w:highlight w:val="yellow"/>
          <w:rtl/>
        </w:rPr>
        <w:t xml:space="preserve">بیان استاد: </w:t>
      </w:r>
      <w:r w:rsidRPr="00C44656">
        <w:rPr>
          <w:rtl/>
        </w:rPr>
        <w:t>در ا</w:t>
      </w:r>
      <w:r w:rsidRPr="00C44656">
        <w:rPr>
          <w:rFonts w:hint="cs"/>
          <w:rtl/>
        </w:rPr>
        <w:t>ین</w:t>
      </w:r>
      <w:r w:rsidRPr="00C44656">
        <w:rPr>
          <w:rtl/>
        </w:rPr>
        <w:t xml:space="preserve"> عبارت</w:t>
      </w:r>
      <w:r>
        <w:rPr>
          <w:rFonts w:hint="cs"/>
          <w:rtl/>
        </w:rPr>
        <w:t>،</w:t>
      </w:r>
      <w:r w:rsidRPr="00C44656">
        <w:rPr>
          <w:rtl/>
        </w:rPr>
        <w:t xml:space="preserve"> </w:t>
      </w:r>
      <w:r>
        <w:rPr>
          <w:rFonts w:hint="cs"/>
          <w:rtl/>
        </w:rPr>
        <w:t xml:space="preserve">مرحوم علامه نکات دقیق‌تری از علامت بودن «إنبات» برای بلوغ مطرح می‌کند، در بیان ایشان چنین إنباتی مخصوص موی خشنی است که در اطراف </w:t>
      </w:r>
      <w:r w:rsidR="001B3BB1">
        <w:rPr>
          <w:rFonts w:hint="cs"/>
          <w:rtl/>
        </w:rPr>
        <w:t>عانه</w:t>
      </w:r>
      <w:r>
        <w:rPr>
          <w:rFonts w:hint="cs"/>
          <w:rtl/>
        </w:rPr>
        <w:t xml:space="preserve"> رشد می</w:t>
      </w:r>
      <w:r>
        <w:rPr>
          <w:rFonts w:hint="cs"/>
          <w:rtl/>
          <w:cs/>
        </w:rPr>
        <w:t>‎کند و</w:t>
      </w:r>
      <w:r w:rsidR="001B3BB1">
        <w:rPr>
          <w:rFonts w:hint="cs"/>
          <w:rtl/>
          <w:cs/>
        </w:rPr>
        <w:t xml:space="preserve"> هرگز شباهتی به موی ضعیف و کمرنگِ </w:t>
      </w:r>
      <w:r w:rsidR="00B41AEE">
        <w:rPr>
          <w:rFonts w:hint="cs"/>
          <w:rtl/>
        </w:rPr>
        <w:t>متمایل به زرد</w:t>
      </w:r>
      <w:r>
        <w:rPr>
          <w:rFonts w:hint="cs"/>
          <w:rtl/>
        </w:rPr>
        <w:t xml:space="preserve"> ندارد</w:t>
      </w:r>
      <w:r w:rsidR="00B41AEE">
        <w:rPr>
          <w:rFonts w:hint="cs"/>
          <w:rtl/>
        </w:rPr>
        <w:t>، کلمه</w:t>
      </w:r>
      <w:r w:rsidR="00B41AEE">
        <w:rPr>
          <w:rFonts w:hint="cs"/>
          <w:rtl/>
          <w:cs/>
        </w:rPr>
        <w:t xml:space="preserve">‎ی «الزغب» به معنای اولین مویی است که بر بدن </w:t>
      </w:r>
      <w:r w:rsidR="00B41AEE">
        <w:rPr>
          <w:rFonts w:hint="cs"/>
          <w:rtl/>
        </w:rPr>
        <w:t>کودکان می</w:t>
      </w:r>
      <w:r w:rsidR="00B41AEE">
        <w:rPr>
          <w:rFonts w:hint="cs"/>
          <w:rtl/>
          <w:cs/>
        </w:rPr>
        <w:t xml:space="preserve">‎روید که بسیار کمرنگ و سست </w:t>
      </w:r>
      <w:r w:rsidR="009F79C5">
        <w:rPr>
          <w:rFonts w:hint="cs"/>
          <w:rtl/>
        </w:rPr>
        <w:t xml:space="preserve">و نازک </w:t>
      </w:r>
      <w:r w:rsidR="00B41AEE">
        <w:rPr>
          <w:rFonts w:hint="cs"/>
          <w:rtl/>
        </w:rPr>
        <w:t>می</w:t>
      </w:r>
      <w:r w:rsidR="00B41AEE">
        <w:rPr>
          <w:rFonts w:hint="cs"/>
          <w:rtl/>
          <w:cs/>
        </w:rPr>
        <w:t>‎باشد ولی مویی که علامت بلوغ است بسیار خشن و محکم است و معمولا رنگ آن مشکی غلیظ است، به جهت استحکام چنین مویی که اطراف عانه</w:t>
      </w:r>
      <w:r w:rsidR="00B41AEE">
        <w:rPr>
          <w:cs/>
        </w:rPr>
        <w:t>‎</w:t>
      </w:r>
      <w:r w:rsidR="00B41AEE">
        <w:rPr>
          <w:rFonts w:hint="cs"/>
          <w:rtl/>
        </w:rPr>
        <w:t>ی مردان و زنان بالغ می</w:t>
      </w:r>
      <w:r w:rsidR="00B41AEE">
        <w:rPr>
          <w:rFonts w:hint="cs"/>
          <w:rtl/>
          <w:cs/>
        </w:rPr>
        <w:t>‎روید در زمان إزاله</w:t>
      </w:r>
      <w:r w:rsidR="00B41AEE">
        <w:rPr>
          <w:rFonts w:hint="cs"/>
          <w:rtl/>
        </w:rPr>
        <w:t xml:space="preserve">‎ی آن نیاز به تراشیدن </w:t>
      </w:r>
      <w:r w:rsidR="004E354D">
        <w:rPr>
          <w:rFonts w:hint="cs"/>
          <w:rtl/>
        </w:rPr>
        <w:t>و یا استفاده از داروی نظافت است، روییدن چنین مویی با این اوصاف مقتضی حکم به بلوغ است.</w:t>
      </w:r>
    </w:p>
    <w:p w:rsidR="003E194D" w:rsidRDefault="004E354D" w:rsidP="001B3BB1">
      <w:pPr>
        <w:spacing w:line="480" w:lineRule="auto"/>
        <w:rPr>
          <w:rtl/>
        </w:rPr>
      </w:pPr>
      <w:r w:rsidRPr="004E354D">
        <w:rPr>
          <w:rFonts w:hint="cs"/>
          <w:highlight w:val="yellow"/>
          <w:rtl/>
        </w:rPr>
        <w:t xml:space="preserve">در توضیح </w:t>
      </w:r>
      <w:r>
        <w:rPr>
          <w:rFonts w:hint="cs"/>
          <w:rtl/>
        </w:rPr>
        <w:t>بیان مرحوم علامه می</w:t>
      </w:r>
      <w:r>
        <w:rPr>
          <w:rFonts w:hint="cs"/>
          <w:rtl/>
          <w:cs/>
        </w:rPr>
        <w:t xml:space="preserve">‎توان گفت </w:t>
      </w:r>
      <w:bookmarkEnd w:id="4"/>
      <w:r>
        <w:rPr>
          <w:rFonts w:hint="cs"/>
          <w:rtl/>
          <w:cs/>
        </w:rPr>
        <w:t>از زمان به دنیا آمدن یک انسان تا زمان فوت او در دوره</w:t>
      </w:r>
      <w:r>
        <w:rPr>
          <w:rFonts w:hint="cs"/>
          <w:rtl/>
        </w:rPr>
        <w:t>‎های مختلف، انواع موها در قسمت</w:t>
      </w:r>
      <w:r>
        <w:rPr>
          <w:rFonts w:hint="cs"/>
          <w:rtl/>
          <w:cs/>
        </w:rPr>
        <w:t xml:space="preserve">‎های مختلف اعضاء در بدن رشد می‌کند به نحوی که در سر، صورت، زیر بغل، روی </w:t>
      </w:r>
      <w:r>
        <w:rPr>
          <w:rFonts w:hint="cs"/>
          <w:rtl/>
        </w:rPr>
        <w:t>ساعد وساق پا و سایر اعضاء قابل مشاهده است ولی مویی که در اطراف عانه رشد می</w:t>
      </w:r>
      <w:r>
        <w:rPr>
          <w:rFonts w:hint="cs"/>
          <w:rtl/>
          <w:cs/>
        </w:rPr>
        <w:t>‎کند و نشانه</w:t>
      </w:r>
      <w:r>
        <w:rPr>
          <w:rFonts w:hint="cs"/>
          <w:rtl/>
        </w:rPr>
        <w:t>‎ی</w:t>
      </w:r>
      <w:r w:rsidR="003E7FDC">
        <w:rPr>
          <w:rFonts w:hint="cs"/>
          <w:rtl/>
        </w:rPr>
        <w:t xml:space="preserve"> دوران بلوغ است ویژگی</w:t>
      </w:r>
      <w:r w:rsidR="003E7FDC">
        <w:rPr>
          <w:rFonts w:hint="cs"/>
          <w:rtl/>
          <w:cs/>
        </w:rPr>
        <w:t>‎هایی</w:t>
      </w:r>
      <w:r>
        <w:rPr>
          <w:rFonts w:hint="cs"/>
          <w:rtl/>
        </w:rPr>
        <w:t xml:space="preserve"> دارد که در بیان مرحوم علامه با دقت بیشتری مطرح گردیده است.</w:t>
      </w:r>
    </w:p>
    <w:p w:rsidR="009F79C5" w:rsidRDefault="003E7FDC" w:rsidP="001B3BB1">
      <w:pPr>
        <w:spacing w:line="480" w:lineRule="auto"/>
        <w:rPr>
          <w:rtl/>
        </w:rPr>
      </w:pPr>
      <w:r w:rsidRPr="003E7FDC">
        <w:rPr>
          <w:rFonts w:hint="cs"/>
          <w:color w:val="FF0000"/>
          <w:rtl/>
        </w:rPr>
        <w:t xml:space="preserve">شرط عقل در متعاقدین: </w:t>
      </w:r>
      <w:r>
        <w:rPr>
          <w:rFonts w:hint="cs"/>
          <w:rtl/>
        </w:rPr>
        <w:t xml:space="preserve">در شرط اول که بلوغ بود به طور مفصل هم در معنای لغوی و هم معنای اصطلاحی مطالبی </w:t>
      </w:r>
      <w:r w:rsidR="001B3BB1">
        <w:rPr>
          <w:rFonts w:hint="cs"/>
          <w:rtl/>
        </w:rPr>
        <w:t>بیان</w:t>
      </w:r>
      <w:r>
        <w:rPr>
          <w:rFonts w:hint="cs"/>
          <w:rtl/>
        </w:rPr>
        <w:t xml:space="preserve"> شد، در مقام استشهاد قرآنی </w:t>
      </w:r>
      <w:r w:rsidR="001B3BB1">
        <w:rPr>
          <w:rFonts w:hint="cs"/>
          <w:rtl/>
        </w:rPr>
        <w:t xml:space="preserve">برای </w:t>
      </w:r>
      <w:r>
        <w:rPr>
          <w:rFonts w:hint="cs"/>
          <w:rtl/>
        </w:rPr>
        <w:t>لغت «بلغ» در معنای «رسید» آیات متعددی بیان شد</w:t>
      </w:r>
      <w:r w:rsidR="009F79C5">
        <w:rPr>
          <w:rFonts w:hint="cs"/>
          <w:rtl/>
        </w:rPr>
        <w:t>، از جمله‏ی این آیات، دو آیه</w:t>
      </w:r>
      <w:r w:rsidR="009F79C5">
        <w:rPr>
          <w:rFonts w:hint="cs"/>
          <w:rtl/>
          <w:cs/>
        </w:rPr>
        <w:t>‎ی استیذان بود که به جهت اهمیت آن یک جلسه برای این موضوع اختصاص دادیم و با تمسک به آیه‏ی 58 سوره‏ی نور ا</w:t>
      </w:r>
      <w:r w:rsidR="001B3BB1">
        <w:rPr>
          <w:rFonts w:hint="cs"/>
          <w:rtl/>
          <w:cs/>
        </w:rPr>
        <w:t>حکام مربوط به رعایت حریم پدر و ماد</w:t>
      </w:r>
      <w:r w:rsidR="009F79C5">
        <w:rPr>
          <w:rFonts w:hint="cs"/>
          <w:rtl/>
        </w:rPr>
        <w:t>ر از ناحیه</w:t>
      </w:r>
      <w:r w:rsidR="009F79C5">
        <w:rPr>
          <w:rFonts w:hint="cs"/>
          <w:rtl/>
          <w:cs/>
        </w:rPr>
        <w:t>‎ی اطفال در عورات ثلاثه بیان شد و همچنین در آیه‏ی 59 سوره</w:t>
      </w:r>
      <w:r w:rsidR="009F79C5">
        <w:rPr>
          <w:rFonts w:hint="cs"/>
          <w:rtl/>
        </w:rPr>
        <w:t>‎ی نور احکام مربوط به اولاد بالغ بیان شد که چگونه باید در تمام زمان</w:t>
      </w:r>
      <w:r w:rsidR="009F79C5">
        <w:rPr>
          <w:rFonts w:hint="cs"/>
          <w:rtl/>
          <w:cs/>
        </w:rPr>
        <w:t xml:space="preserve">‎ها حریم پدر </w:t>
      </w:r>
      <w:r w:rsidR="001B3BB1">
        <w:rPr>
          <w:rFonts w:hint="cs"/>
          <w:rtl/>
          <w:cs/>
        </w:rPr>
        <w:t xml:space="preserve">و </w:t>
      </w:r>
      <w:r w:rsidR="009F79C5">
        <w:rPr>
          <w:rFonts w:hint="cs"/>
          <w:rtl/>
          <w:cs/>
        </w:rPr>
        <w:t xml:space="preserve">مادر خود را رعایت کنند </w:t>
      </w:r>
      <w:r w:rsidR="00E12E7B">
        <w:rPr>
          <w:rFonts w:hint="cs"/>
          <w:rtl/>
        </w:rPr>
        <w:t>و هرگز بدون إذن آنها وارد نشوند؛ به مناسبت لفظ «بلغ» بحث ما به آیات استیذان کشیده شد و گفتیم که این حکم مهم حتی در بین خطباء و فقهاء متروک مانده و کمتر به آن توجه شده است.</w:t>
      </w:r>
    </w:p>
    <w:p w:rsidR="003E7FDC" w:rsidRDefault="009F79C5" w:rsidP="001B3BB1">
      <w:pPr>
        <w:spacing w:line="480" w:lineRule="auto"/>
        <w:rPr>
          <w:rtl/>
        </w:rPr>
      </w:pPr>
      <w:r>
        <w:rPr>
          <w:rFonts w:hint="cs"/>
          <w:rtl/>
        </w:rPr>
        <w:lastRenderedPageBreak/>
        <w:t>و اما بحث این جلسه‏ی ما شرط عقل در متعاقدین است</w:t>
      </w:r>
      <w:r w:rsidR="00BB0087">
        <w:rPr>
          <w:rFonts w:hint="cs"/>
          <w:rtl/>
        </w:rPr>
        <w:t xml:space="preserve">؛ هم موجر و هم مستأجر باید در </w:t>
      </w:r>
      <w:r w:rsidR="001B3BB1">
        <w:rPr>
          <w:rFonts w:hint="cs"/>
          <w:rtl/>
        </w:rPr>
        <w:t>سلامت</w:t>
      </w:r>
      <w:r w:rsidR="00BB0087">
        <w:rPr>
          <w:rFonts w:hint="cs"/>
          <w:rtl/>
        </w:rPr>
        <w:t xml:space="preserve"> عقل باشند و إلا مجنون مسلوب العباره است و هیچ ترتیب اثری به ایجاب و قبول او </w:t>
      </w:r>
      <w:r w:rsidR="001B3BB1">
        <w:rPr>
          <w:rFonts w:hint="cs"/>
          <w:rtl/>
        </w:rPr>
        <w:t xml:space="preserve">داده </w:t>
      </w:r>
      <w:r w:rsidR="00BB0087">
        <w:rPr>
          <w:rFonts w:hint="cs"/>
          <w:rtl/>
        </w:rPr>
        <w:t>نمی</w:t>
      </w:r>
      <w:r w:rsidR="00BB0087">
        <w:rPr>
          <w:rFonts w:hint="cs"/>
          <w:rtl/>
          <w:cs/>
        </w:rPr>
        <w:t>‎شود، شر</w:t>
      </w:r>
      <w:r w:rsidR="00BB0087">
        <w:rPr>
          <w:rFonts w:hint="cs"/>
          <w:rtl/>
        </w:rPr>
        <w:t>ط عقل عمومیت دارد و در تمام عقود و ایقاعات اعم از بیع، إجاره، هبه، وقف و... مع</w:t>
      </w:r>
      <w:r w:rsidR="00A448F7">
        <w:rPr>
          <w:rFonts w:hint="cs"/>
          <w:rtl/>
        </w:rPr>
        <w:t>ت</w:t>
      </w:r>
      <w:r w:rsidR="00BB0087">
        <w:rPr>
          <w:rFonts w:hint="cs"/>
          <w:rtl/>
        </w:rPr>
        <w:t>بر است.</w:t>
      </w:r>
    </w:p>
    <w:p w:rsidR="00952B12" w:rsidRDefault="00BB0087" w:rsidP="001B3BB1">
      <w:pPr>
        <w:spacing w:line="480" w:lineRule="auto"/>
        <w:rPr>
          <w:rFonts w:hint="cs"/>
          <w:rtl/>
        </w:rPr>
      </w:pPr>
      <w:r w:rsidRPr="00A448F7">
        <w:rPr>
          <w:rFonts w:hint="cs"/>
          <w:color w:val="FF0000"/>
          <w:rtl/>
        </w:rPr>
        <w:t>أدله</w:t>
      </w:r>
      <w:r w:rsidRPr="00A448F7">
        <w:rPr>
          <w:color w:val="FF0000"/>
          <w:cs/>
        </w:rPr>
        <w:t>‎</w:t>
      </w:r>
      <w:r w:rsidRPr="00A448F7">
        <w:rPr>
          <w:rFonts w:hint="cs"/>
          <w:color w:val="FF0000"/>
          <w:rtl/>
        </w:rPr>
        <w:t xml:space="preserve">ی اثبات شرط عقل در متعاقدین: </w:t>
      </w:r>
      <w:r w:rsidR="00A448F7">
        <w:rPr>
          <w:rFonts w:hint="cs"/>
          <w:rtl/>
        </w:rPr>
        <w:t>برای اثبات یک مدعا وقتی به سراغ استدل</w:t>
      </w:r>
      <w:r w:rsidR="00C67E39">
        <w:rPr>
          <w:rFonts w:hint="cs"/>
          <w:rtl/>
        </w:rPr>
        <w:t>ال می‎رویم</w:t>
      </w:r>
      <w:r w:rsidR="00A448F7">
        <w:rPr>
          <w:rFonts w:hint="cs"/>
          <w:rtl/>
        </w:rPr>
        <w:t xml:space="preserve"> که عند العقلاء محلّی برای اشکال </w:t>
      </w:r>
      <w:r w:rsidR="00C67E39">
        <w:rPr>
          <w:rFonts w:hint="cs"/>
          <w:rtl/>
        </w:rPr>
        <w:t>باشد فلذا در حقیقتی که توافق عمومی وجود داشته باشد معنایی ندارد که زحمت استدلال به خود بدهیم و چه بسا استدلال در واضحات</w:t>
      </w:r>
      <w:r w:rsidR="00ED2226">
        <w:rPr>
          <w:rFonts w:hint="cs"/>
          <w:rtl/>
        </w:rPr>
        <w:t>،</w:t>
      </w:r>
      <w:r w:rsidR="00C67E39">
        <w:rPr>
          <w:rFonts w:hint="cs"/>
          <w:rtl/>
        </w:rPr>
        <w:t xml:space="preserve"> یک عمل بیهوده به حساب آید، مراجعه به عقلاء در بسیاری از معاشرات و معاملات و مکالمات رفع از ابهامات می‏کند و این منبع یک منبع عمومی در کشف شبهات است به همین جهت بسیاری از فقهاء در اموری که مورد پذیرش عقلاء بوده است </w:t>
      </w:r>
      <w:r w:rsidR="00ED2226">
        <w:rPr>
          <w:rFonts w:hint="cs"/>
          <w:rtl/>
        </w:rPr>
        <w:t>نیازی به استدلال ندیده‏اند</w:t>
      </w:r>
      <w:r w:rsidR="00DD3512">
        <w:rPr>
          <w:rFonts w:hint="cs"/>
          <w:rtl/>
        </w:rPr>
        <w:t>؛</w:t>
      </w:r>
      <w:r w:rsidR="00ED2226">
        <w:rPr>
          <w:rFonts w:hint="cs"/>
          <w:rtl/>
        </w:rPr>
        <w:t xml:space="preserve"> یکی از اموری که مورد تسالم عقلاء است بی‎اثر بودن عقود مجانین است و اگر کسی بر اساس معامله با یک مجنون تصرفّی در مال غیر انجام دهد مورد سرزنش قرار می‏گیرد و مجرم شناخته می‎شود</w:t>
      </w:r>
      <w:r w:rsidR="00952B12">
        <w:rPr>
          <w:rFonts w:hint="cs"/>
          <w:rtl/>
        </w:rPr>
        <w:t>.</w:t>
      </w:r>
    </w:p>
    <w:p w:rsidR="00DD3512" w:rsidRDefault="00ED2226" w:rsidP="001B3BB1">
      <w:pPr>
        <w:spacing w:line="480" w:lineRule="auto"/>
        <w:rPr>
          <w:rtl/>
        </w:rPr>
      </w:pPr>
      <w:r>
        <w:rPr>
          <w:rFonts w:hint="cs"/>
          <w:rtl/>
        </w:rPr>
        <w:t xml:space="preserve">از جمله اموری که در کتب فقهی به جهت وضوح مطلب از آن عبور کرده‎اند شرط عقل در متعاقدین است و نیازی ندیده‌اند که برای اثبات آن استدلالی انجام دهند و فقط به اصل لزوم عقل در متعاقدین اکتفاء کرده‏اند ما هم نیازی به استدلال در شرط عقل در متعاقدین نمی‎بینیم و از این بحث عبور می‏کنیم. </w:t>
      </w:r>
    </w:p>
    <w:p w:rsidR="000364FC" w:rsidRDefault="00DD3512" w:rsidP="001B3BB1">
      <w:pPr>
        <w:spacing w:line="480" w:lineRule="auto"/>
        <w:rPr>
          <w:rtl/>
        </w:rPr>
      </w:pPr>
      <w:r w:rsidRPr="00DD3512">
        <w:rPr>
          <w:rFonts w:hint="cs"/>
          <w:color w:val="FF0000"/>
          <w:rtl/>
        </w:rPr>
        <w:t xml:space="preserve">شرط </w:t>
      </w:r>
      <w:r>
        <w:rPr>
          <w:rFonts w:hint="cs"/>
          <w:color w:val="FF0000"/>
          <w:rtl/>
        </w:rPr>
        <w:t>«</w:t>
      </w:r>
      <w:r w:rsidRPr="00DD3512">
        <w:rPr>
          <w:rFonts w:hint="cs"/>
          <w:color w:val="FF0000"/>
          <w:rtl/>
        </w:rPr>
        <w:t>اختیار</w:t>
      </w:r>
      <w:r>
        <w:rPr>
          <w:rFonts w:hint="cs"/>
          <w:color w:val="FF0000"/>
          <w:rtl/>
        </w:rPr>
        <w:t>»</w:t>
      </w:r>
      <w:r w:rsidRPr="00DD3512">
        <w:rPr>
          <w:rFonts w:hint="cs"/>
          <w:color w:val="FF0000"/>
          <w:rtl/>
        </w:rPr>
        <w:t xml:space="preserve"> در متعاقدین:</w:t>
      </w:r>
      <w:r>
        <w:rPr>
          <w:rFonts w:hint="cs"/>
          <w:rtl/>
        </w:rPr>
        <w:t xml:space="preserve"> سوّمین شرط از شرائط متعاقدین اختیار است از جمله الفاظ هم معنا با اختیار «قصد» است، </w:t>
      </w:r>
      <w:r w:rsidR="000364FC">
        <w:rPr>
          <w:rFonts w:hint="cs"/>
          <w:rtl/>
        </w:rPr>
        <w:t>ولی با تأمل در عبارت علماء تفاوتی در این دو لفظ می‎یابیم.</w:t>
      </w:r>
    </w:p>
    <w:p w:rsidR="000364FC" w:rsidRDefault="000364FC" w:rsidP="001B3BB1">
      <w:pPr>
        <w:spacing w:line="480" w:lineRule="auto"/>
        <w:rPr>
          <w:rFonts w:hint="cs"/>
          <w:rtl/>
        </w:rPr>
      </w:pPr>
      <w:r w:rsidRPr="000364FC">
        <w:rPr>
          <w:rFonts w:hint="cs"/>
          <w:color w:val="FF0000"/>
          <w:rtl/>
        </w:rPr>
        <w:lastRenderedPageBreak/>
        <w:t xml:space="preserve">کلام مرحوم امام: </w:t>
      </w:r>
      <w:r w:rsidR="00DD3512">
        <w:rPr>
          <w:rFonts w:hint="cs"/>
          <w:rtl/>
        </w:rPr>
        <w:t>مرحوم امام در بحث شروط متعاقدین</w:t>
      </w:r>
      <w:r w:rsidR="00A553F3">
        <w:rPr>
          <w:rFonts w:hint="cs"/>
          <w:rtl/>
        </w:rPr>
        <w:t xml:space="preserve"> در عقد إجاره «اختیار» و «قصد» را در </w:t>
      </w:r>
      <w:r w:rsidR="00921EDB">
        <w:rPr>
          <w:rFonts w:hint="cs"/>
          <w:rtl/>
        </w:rPr>
        <w:t xml:space="preserve">عرض هم قرار داده‎اند: </w:t>
      </w:r>
      <w:r w:rsidR="00921EDB" w:rsidRPr="00921EDB">
        <w:rPr>
          <w:rtl/>
        </w:rPr>
        <w:t>«</w:t>
      </w:r>
      <w:r w:rsidR="00921EDB" w:rsidRPr="00921EDB">
        <w:rPr>
          <w:color w:val="800000"/>
          <w:rtl/>
        </w:rPr>
        <w:t>أمّا المتعاقدان: فيعتبر فيهما ما اعتبر في المتبايعين: من البلوغ، والعقل، والقصد، والاختيار، وعدم الحجر؛ لفلس أو سفه ونحوهما</w:t>
      </w:r>
      <w:r w:rsidR="00921EDB">
        <w:rPr>
          <w:rtl/>
        </w:rPr>
        <w:t>.</w:t>
      </w:r>
      <w:r w:rsidR="00CF1D29">
        <w:rPr>
          <w:rFonts w:hint="cs"/>
          <w:rtl/>
        </w:rPr>
        <w:t>»</w:t>
      </w:r>
      <w:r w:rsidR="00906892">
        <w:rPr>
          <w:rStyle w:val="FootnoteReference"/>
          <w:rtl/>
        </w:rPr>
        <w:footnoteReference w:id="2"/>
      </w:r>
      <w:r>
        <w:rPr>
          <w:rFonts w:hint="cs"/>
          <w:rtl/>
        </w:rPr>
        <w:t>.</w:t>
      </w:r>
    </w:p>
    <w:p w:rsidR="00952B12" w:rsidRDefault="000364FC" w:rsidP="001B3BB1">
      <w:pPr>
        <w:spacing w:line="480" w:lineRule="auto"/>
        <w:rPr>
          <w:rtl/>
        </w:rPr>
      </w:pPr>
      <w:r w:rsidRPr="000364FC">
        <w:rPr>
          <w:rFonts w:hint="cs"/>
          <w:color w:val="FF0000"/>
          <w:rtl/>
        </w:rPr>
        <w:t>کلام مرحوم شیخ انصاری:</w:t>
      </w:r>
      <w:r>
        <w:rPr>
          <w:rFonts w:hint="cs"/>
          <w:rtl/>
        </w:rPr>
        <w:t xml:space="preserve"> </w:t>
      </w:r>
      <w:r w:rsidR="00DD3512">
        <w:rPr>
          <w:rFonts w:hint="cs"/>
          <w:rtl/>
        </w:rPr>
        <w:t xml:space="preserve">مرحوم شیخ </w:t>
      </w:r>
      <w:r w:rsidR="00921EDB">
        <w:rPr>
          <w:rFonts w:hint="cs"/>
          <w:rtl/>
        </w:rPr>
        <w:t xml:space="preserve">انصاری در دو مسئله‎ی جداگانه به این دو شرط تصریح نموده‎اند: </w:t>
      </w:r>
    </w:p>
    <w:p w:rsidR="00952B12" w:rsidRDefault="00952B12" w:rsidP="00952B12">
      <w:pPr>
        <w:spacing w:line="480" w:lineRule="auto"/>
        <w:rPr>
          <w:rtl/>
        </w:rPr>
      </w:pPr>
      <w:r w:rsidRPr="00952B12">
        <w:rPr>
          <w:rFonts w:hint="cs"/>
          <w:color w:val="FF0000"/>
          <w:rtl/>
        </w:rPr>
        <w:t xml:space="preserve">مسئله‎ی اول: </w:t>
      </w:r>
      <w:r w:rsidR="00921EDB">
        <w:rPr>
          <w:rFonts w:hint="cs"/>
          <w:rtl/>
        </w:rPr>
        <w:t>«</w:t>
      </w:r>
      <w:r w:rsidR="00921EDB" w:rsidRPr="00921EDB">
        <w:rPr>
          <w:color w:val="000080"/>
          <w:rtl/>
        </w:rPr>
        <w:t>و من جملة شرائط المتعاقدين قصدهما لمدلول العقد الذي يتلفظان به</w:t>
      </w:r>
      <w:r w:rsidR="003A0E3B">
        <w:rPr>
          <w:rFonts w:hint="cs"/>
          <w:color w:val="000080"/>
          <w:rtl/>
        </w:rPr>
        <w:t xml:space="preserve"> </w:t>
      </w:r>
      <w:r w:rsidR="000364FC" w:rsidRPr="000364FC">
        <w:rPr>
          <w:color w:val="000080"/>
          <w:rtl/>
        </w:rPr>
        <w:t>و اشتراط القصد بهذا المعنى في صحّة العقد بل في تحقّق مفهومه ممّا لا خلاف فيه و لا إشكال، فلا يقع من دون قصدٍ إلى اللفظ كما في الغالط. أو إلى المعنى لا بمعنى عدم استعمال اللفظ فيه، بل بمعن</w:t>
      </w:r>
      <w:r w:rsidR="000364FC">
        <w:rPr>
          <w:color w:val="000080"/>
          <w:rtl/>
        </w:rPr>
        <w:t>ى عدم تعلّق إرادته</w:t>
      </w:r>
      <w:r w:rsidR="000364FC">
        <w:rPr>
          <w:rFonts w:hint="cs"/>
          <w:color w:val="000080"/>
          <w:rtl/>
        </w:rPr>
        <w:t xml:space="preserve"> </w:t>
      </w:r>
      <w:r w:rsidR="000364FC">
        <w:rPr>
          <w:color w:val="000080"/>
          <w:rtl/>
        </w:rPr>
        <w:t>و إن</w:t>
      </w:r>
      <w:r w:rsidR="000364FC">
        <w:rPr>
          <w:rFonts w:hint="cs"/>
          <w:color w:val="000080"/>
          <w:rtl/>
        </w:rPr>
        <w:t xml:space="preserve"> </w:t>
      </w:r>
      <w:r w:rsidR="000364FC" w:rsidRPr="000364FC">
        <w:rPr>
          <w:color w:val="000080"/>
          <w:rtl/>
        </w:rPr>
        <w:t>أوجد مدلوله بالإنش</w:t>
      </w:r>
      <w:r w:rsidR="000364FC">
        <w:rPr>
          <w:color w:val="000080"/>
          <w:rtl/>
        </w:rPr>
        <w:t>اء، كما في الأمر الصوري فهو</w:t>
      </w:r>
      <w:r w:rsidR="000364FC">
        <w:rPr>
          <w:rFonts w:hint="cs"/>
          <w:color w:val="000080"/>
          <w:rtl/>
        </w:rPr>
        <w:t xml:space="preserve"> </w:t>
      </w:r>
      <w:r w:rsidR="000364FC" w:rsidRPr="000364FC">
        <w:rPr>
          <w:color w:val="000080"/>
          <w:rtl/>
        </w:rPr>
        <w:t>شبيه الكذب في الإخبار كما في الهازل. أو قصد معنى يغاير مدلول العقد، بأن قصد الإخبار أو الاستفهام. أو أنشأ معنىً غير البيع مجازاً أو غلطاً، فلا يقع البيع لعدم القصد إليه، و لا المقصود إذا اشترط فيه عبارة خاصّة.</w:t>
      </w:r>
      <w:r w:rsidR="00921EDB" w:rsidRPr="00921EDB">
        <w:rPr>
          <w:color w:val="000080"/>
          <w:rtl/>
        </w:rPr>
        <w:t>‌</w:t>
      </w:r>
      <w:r w:rsidR="00921EDB">
        <w:rPr>
          <w:rFonts w:hint="cs"/>
          <w:rtl/>
        </w:rPr>
        <w:t>»</w:t>
      </w:r>
      <w:r w:rsidR="000364FC">
        <w:rPr>
          <w:rStyle w:val="FootnoteReference"/>
          <w:rtl/>
        </w:rPr>
        <w:footnoteReference w:id="3"/>
      </w:r>
      <w:r w:rsidR="00DD3512">
        <w:rPr>
          <w:rFonts w:hint="cs"/>
          <w:rtl/>
        </w:rPr>
        <w:t xml:space="preserve"> </w:t>
      </w:r>
    </w:p>
    <w:p w:rsidR="003A0E3B" w:rsidRDefault="00952B12" w:rsidP="00952B12">
      <w:pPr>
        <w:spacing w:line="480" w:lineRule="auto"/>
        <w:rPr>
          <w:rtl/>
        </w:rPr>
      </w:pPr>
      <w:r w:rsidRPr="00952B12">
        <w:rPr>
          <w:rFonts w:hint="cs"/>
          <w:color w:val="FF0000"/>
          <w:rtl/>
        </w:rPr>
        <w:t xml:space="preserve">مسئله‎ی دوم: </w:t>
      </w:r>
      <w:r w:rsidR="000364FC">
        <w:rPr>
          <w:rFonts w:hint="cs"/>
          <w:rtl/>
        </w:rPr>
        <w:t>«</w:t>
      </w:r>
      <w:r w:rsidR="000364FC" w:rsidRPr="000364FC">
        <w:rPr>
          <w:color w:val="000080"/>
          <w:rtl/>
        </w:rPr>
        <w:t>و من شرائط المتعاقدين: الاختيار،</w:t>
      </w:r>
      <w:r w:rsidR="000364FC" w:rsidRPr="000364FC">
        <w:rPr>
          <w:rFonts w:hint="cs"/>
          <w:color w:val="000080"/>
          <w:rtl/>
        </w:rPr>
        <w:t xml:space="preserve"> </w:t>
      </w:r>
      <w:r w:rsidR="000364FC" w:rsidRPr="000364FC">
        <w:rPr>
          <w:color w:val="000080"/>
          <w:rtl/>
        </w:rPr>
        <w:t>و المراد به القصد إلى وقوع مضمون العقد عن طيب نفسٍ، في مقابل الكراهة و عدم طيب النفس، لا الاختيار في مقابل الجبر</w:t>
      </w:r>
      <w:r w:rsidR="000364FC">
        <w:rPr>
          <w:rtl/>
        </w:rPr>
        <w:t>.</w:t>
      </w:r>
      <w:r w:rsidR="000364FC">
        <w:rPr>
          <w:rFonts w:hint="cs"/>
          <w:rtl/>
        </w:rPr>
        <w:t>»</w:t>
      </w:r>
      <w:r w:rsidR="003A0E3B">
        <w:rPr>
          <w:rStyle w:val="FootnoteReference"/>
          <w:rtl/>
        </w:rPr>
        <w:footnoteReference w:id="4"/>
      </w:r>
      <w:r w:rsidR="000364FC">
        <w:rPr>
          <w:rFonts w:hint="cs"/>
          <w:rtl/>
        </w:rPr>
        <w:t xml:space="preserve"> </w:t>
      </w:r>
    </w:p>
    <w:p w:rsidR="003A0E3B" w:rsidRDefault="003A0E3B" w:rsidP="00952B12">
      <w:pPr>
        <w:spacing w:line="480" w:lineRule="auto"/>
        <w:rPr>
          <w:rFonts w:hint="cs"/>
          <w:rtl/>
        </w:rPr>
      </w:pPr>
      <w:r w:rsidRPr="003A0E3B">
        <w:rPr>
          <w:rFonts w:hint="cs"/>
          <w:highlight w:val="yellow"/>
          <w:rtl/>
        </w:rPr>
        <w:t xml:space="preserve">بیان استاد: </w:t>
      </w:r>
      <w:r w:rsidR="001B3BB1">
        <w:rPr>
          <w:rFonts w:hint="cs"/>
          <w:rtl/>
        </w:rPr>
        <w:t>«</w:t>
      </w:r>
      <w:r w:rsidR="00DD3512">
        <w:rPr>
          <w:rFonts w:hint="cs"/>
          <w:rtl/>
        </w:rPr>
        <w:t>قصد</w:t>
      </w:r>
      <w:r w:rsidR="001B3BB1">
        <w:rPr>
          <w:rFonts w:hint="cs"/>
          <w:rtl/>
        </w:rPr>
        <w:t>»</w:t>
      </w:r>
      <w:r w:rsidR="00DD3512">
        <w:rPr>
          <w:rFonts w:hint="cs"/>
          <w:rtl/>
        </w:rPr>
        <w:t xml:space="preserve"> به معنای اراده و تصمیم جدّی در </w:t>
      </w:r>
      <w:r>
        <w:rPr>
          <w:rFonts w:hint="cs"/>
          <w:rtl/>
        </w:rPr>
        <w:t>تحق</w:t>
      </w:r>
      <w:r w:rsidR="00952B12">
        <w:rPr>
          <w:rFonts w:hint="cs"/>
          <w:rtl/>
        </w:rPr>
        <w:t>ّ</w:t>
      </w:r>
      <w:r>
        <w:rPr>
          <w:rFonts w:hint="cs"/>
          <w:rtl/>
        </w:rPr>
        <w:t xml:space="preserve">ق مضمون یک </w:t>
      </w:r>
      <w:r w:rsidR="00952B12">
        <w:rPr>
          <w:rFonts w:hint="cs"/>
          <w:rtl/>
        </w:rPr>
        <w:t>سخن است</w:t>
      </w:r>
      <w:r w:rsidR="00DD3512">
        <w:rPr>
          <w:rFonts w:hint="cs"/>
          <w:rtl/>
        </w:rPr>
        <w:t xml:space="preserve"> </w:t>
      </w:r>
      <w:r w:rsidR="00CF1D29">
        <w:rPr>
          <w:rFonts w:hint="cs"/>
          <w:rtl/>
        </w:rPr>
        <w:t xml:space="preserve">به نحوی </w:t>
      </w:r>
      <w:r w:rsidR="00DD3512">
        <w:rPr>
          <w:rFonts w:hint="cs"/>
          <w:rtl/>
        </w:rPr>
        <w:t xml:space="preserve">که </w:t>
      </w:r>
      <w:r w:rsidR="00CF1D29">
        <w:rPr>
          <w:rFonts w:hint="cs"/>
          <w:rtl/>
        </w:rPr>
        <w:t>هیچ گونه</w:t>
      </w:r>
      <w:r w:rsidR="00DD3512">
        <w:rPr>
          <w:rFonts w:hint="cs"/>
          <w:rtl/>
        </w:rPr>
        <w:t xml:space="preserve"> </w:t>
      </w:r>
      <w:r w:rsidR="00CF1D29">
        <w:rPr>
          <w:rFonts w:hint="cs"/>
          <w:rtl/>
        </w:rPr>
        <w:t>هزل و</w:t>
      </w:r>
      <w:r w:rsidR="00FD48A6">
        <w:rPr>
          <w:rFonts w:hint="cs"/>
          <w:rtl/>
        </w:rPr>
        <w:t xml:space="preserve"> مز</w:t>
      </w:r>
      <w:r>
        <w:rPr>
          <w:rFonts w:hint="cs"/>
          <w:rtl/>
        </w:rPr>
        <w:t>اح و غلط</w:t>
      </w:r>
      <w:r w:rsidR="00CF1D29">
        <w:rPr>
          <w:rFonts w:hint="cs"/>
          <w:rtl/>
        </w:rPr>
        <w:t xml:space="preserve"> در میان نباشد برخی علماء در مقابل مفهوم «قصد» مفهوم «هزل» را مطرح می‎کنند بنا بر این اگر کسی صیغه</w:t>
      </w:r>
      <w:r w:rsidR="00CF1D29">
        <w:t>‎</w:t>
      </w:r>
      <w:r w:rsidR="00CF1D29">
        <w:rPr>
          <w:rFonts w:hint="cs"/>
          <w:rtl/>
        </w:rPr>
        <w:t xml:space="preserve">ی «بعتُ هذا بهذا» یا «زوّجتُکَ نفسی» را انشاء نماید ولی قصد او جدّی نباشد </w:t>
      </w:r>
      <w:r w:rsidR="00952B12">
        <w:rPr>
          <w:rFonts w:hint="cs"/>
          <w:rtl/>
        </w:rPr>
        <w:t xml:space="preserve">و در صدد بیهوده گویی و یاوه‌سرایی باشد </w:t>
      </w:r>
      <w:r w:rsidR="00CF1D29">
        <w:rPr>
          <w:rFonts w:hint="cs"/>
          <w:rtl/>
        </w:rPr>
        <w:t>هیچ ترتیب اثر شرعی و عرفی و قانونی برای آن وجود نخواهد داشت</w:t>
      </w:r>
      <w:r>
        <w:rPr>
          <w:rFonts w:hint="cs"/>
          <w:rtl/>
        </w:rPr>
        <w:t>.</w:t>
      </w:r>
    </w:p>
    <w:p w:rsidR="00CE1572" w:rsidRDefault="003A0E3B" w:rsidP="001B3BB1">
      <w:pPr>
        <w:spacing w:line="480" w:lineRule="auto"/>
        <w:rPr>
          <w:rtl/>
        </w:rPr>
      </w:pPr>
      <w:r>
        <w:rPr>
          <w:rFonts w:hint="cs"/>
          <w:rtl/>
        </w:rPr>
        <w:lastRenderedPageBreak/>
        <w:t xml:space="preserve">مرحوم شیخ انصاری برای </w:t>
      </w:r>
      <w:r w:rsidR="00952B12">
        <w:rPr>
          <w:rFonts w:hint="cs"/>
          <w:rtl/>
        </w:rPr>
        <w:t>«</w:t>
      </w:r>
      <w:r>
        <w:rPr>
          <w:rFonts w:hint="cs"/>
          <w:rtl/>
        </w:rPr>
        <w:t>اختیار</w:t>
      </w:r>
      <w:r w:rsidR="00952B12">
        <w:rPr>
          <w:rFonts w:hint="cs"/>
          <w:rtl/>
        </w:rPr>
        <w:t>»</w:t>
      </w:r>
      <w:r>
        <w:rPr>
          <w:rFonts w:hint="cs"/>
          <w:rtl/>
        </w:rPr>
        <w:t xml:space="preserve"> معنایی را انتخاب کرده‎اند که مورد قبول علماء واقع نشده است </w:t>
      </w:r>
      <w:r w:rsidR="00952B12">
        <w:rPr>
          <w:rFonts w:hint="cs"/>
          <w:rtl/>
        </w:rPr>
        <w:t xml:space="preserve">و این معنا تناسبی با ظاهر قول فقهاء ندارد </w:t>
      </w:r>
      <w:r w:rsidR="00E160E7">
        <w:rPr>
          <w:rFonts w:hint="cs"/>
          <w:rtl/>
        </w:rPr>
        <w:t xml:space="preserve">زیرا ایشان «اختیار» را به معنای تحقق مضمون یک عقدی «عن طیب نفس» معنا کرده‏اند و لفظ «اختیار» را از معنای «خیر» مشتق کرده‎اند و آن را در مقابل «کراهت» قرار داده‎اند و حتی تصریح کرده‎اند که </w:t>
      </w:r>
      <w:r w:rsidR="00952B12">
        <w:rPr>
          <w:rFonts w:hint="cs"/>
          <w:rtl/>
        </w:rPr>
        <w:t>«</w:t>
      </w:r>
      <w:r w:rsidR="00E160E7">
        <w:rPr>
          <w:rFonts w:hint="cs"/>
          <w:rtl/>
        </w:rPr>
        <w:t>اختیار</w:t>
      </w:r>
      <w:r w:rsidR="00952B12">
        <w:rPr>
          <w:rFonts w:hint="cs"/>
          <w:rtl/>
        </w:rPr>
        <w:t>»</w:t>
      </w:r>
      <w:r w:rsidR="00E160E7">
        <w:rPr>
          <w:rFonts w:hint="cs"/>
          <w:rtl/>
        </w:rPr>
        <w:t xml:space="preserve"> در مقابل «جبر» نیست.</w:t>
      </w:r>
    </w:p>
    <w:p w:rsidR="00566CA0" w:rsidRDefault="00E160E7" w:rsidP="00566CA0">
      <w:pPr>
        <w:spacing w:line="480" w:lineRule="auto"/>
        <w:rPr>
          <w:rFonts w:hint="cs"/>
          <w:rtl/>
        </w:rPr>
      </w:pPr>
      <w:r>
        <w:rPr>
          <w:rFonts w:hint="cs"/>
          <w:rtl/>
        </w:rPr>
        <w:t xml:space="preserve">ایرادی که به بیان شیخ وارد است این است که در مقابل مفهوم «اختیار» باید مفهوم «اکراه» و «اجبار» واقع شود نه این که </w:t>
      </w:r>
      <w:r w:rsidR="00566CA0">
        <w:rPr>
          <w:rFonts w:hint="cs"/>
          <w:rtl/>
        </w:rPr>
        <w:t xml:space="preserve">در مقابل آن </w:t>
      </w:r>
      <w:r>
        <w:rPr>
          <w:rFonts w:hint="cs"/>
          <w:rtl/>
        </w:rPr>
        <w:t xml:space="preserve">مفهوم «کراهت» قرار گیرد، </w:t>
      </w:r>
      <w:r w:rsidR="00952B12">
        <w:rPr>
          <w:rFonts w:hint="cs"/>
          <w:rtl/>
        </w:rPr>
        <w:t xml:space="preserve">شاهد این ادعا آن است که فقهاء وقتی بحث «بیع مختار» را مطرح می‎کنند در مقابل آن «بیع مُکرَه» را قرار می‌دهند و به اجماع </w:t>
      </w:r>
      <w:r w:rsidR="00566CA0">
        <w:rPr>
          <w:rFonts w:hint="cs"/>
          <w:rtl/>
        </w:rPr>
        <w:t xml:space="preserve">فقهاء </w:t>
      </w:r>
      <w:r w:rsidR="00952B12">
        <w:rPr>
          <w:rFonts w:hint="cs"/>
          <w:rtl/>
        </w:rPr>
        <w:t xml:space="preserve">«بیع مکره» </w:t>
      </w:r>
      <w:r w:rsidR="00566CA0">
        <w:rPr>
          <w:rFonts w:hint="cs"/>
          <w:rtl/>
        </w:rPr>
        <w:t>باطل می‌باشد بنا بر این اگر کسی را به اجبار و تهدید وادار به یک عقدی بکنند آن عقد از اساس باطل است و تصرف در اموالی که از طریق اجبار به دست آمده باشد حرام خواهد بود.</w:t>
      </w:r>
    </w:p>
    <w:p w:rsidR="001A1EA5" w:rsidRDefault="00E160E7" w:rsidP="00566CA0">
      <w:pPr>
        <w:spacing w:line="480" w:lineRule="auto"/>
        <w:rPr>
          <w:rtl/>
        </w:rPr>
      </w:pPr>
      <w:r>
        <w:rPr>
          <w:rFonts w:hint="cs"/>
          <w:rtl/>
        </w:rPr>
        <w:t xml:space="preserve">چه بسا متعاقدین در انجام عقد بیع و إجاره و مانند آن طیب نفس ندارند و با کراهت و ناراحتی اقدام به </w:t>
      </w:r>
      <w:r w:rsidR="007700C4">
        <w:rPr>
          <w:rFonts w:hint="cs"/>
          <w:rtl/>
        </w:rPr>
        <w:t>إ</w:t>
      </w:r>
      <w:r>
        <w:rPr>
          <w:rFonts w:hint="cs"/>
          <w:rtl/>
        </w:rPr>
        <w:t xml:space="preserve">نشاء عقد می‏کنند </w:t>
      </w:r>
      <w:r w:rsidR="007700C4">
        <w:rPr>
          <w:rFonts w:hint="cs"/>
          <w:rtl/>
        </w:rPr>
        <w:t xml:space="preserve">ولی در اصل عقد هیچ اجباری بر آنها تحمیل نمی‎شود و هرگز فقهاء شرطی به نام طیب نفس را لحاظ نکرده‏اند فرض کنید </w:t>
      </w:r>
      <w:r w:rsidR="00566CA0">
        <w:rPr>
          <w:rFonts w:hint="cs"/>
          <w:rtl/>
        </w:rPr>
        <w:t xml:space="preserve">به </w:t>
      </w:r>
      <w:r w:rsidR="007700C4">
        <w:rPr>
          <w:rFonts w:hint="cs"/>
          <w:rtl/>
        </w:rPr>
        <w:t>کسی خانه‎ی پدری ارث رسیده است ولی او برای مصلحت خود ناچار است آن خانه را به فروش برساند هر چند به جهت علاقه‎ای که از دوران کودکی به این خانه دارد و خاطرات فراوانی که از آن به یاد دارد احساس ناراحتی بر او عارض می‏شود ولی اصل معامله با اختیار و انتخاب خود او می‎باشد زیرا از ماحصل فروش این خانه موقعیت بهتری برای خود ایجاد می‏کند یا مانند کسی که به جهت مداوای فرزند خود ناچار می‎شود وسیله‎ی ن</w:t>
      </w:r>
      <w:r w:rsidR="00FD48A6">
        <w:rPr>
          <w:rFonts w:hint="cs"/>
          <w:rtl/>
        </w:rPr>
        <w:t xml:space="preserve">قلیه‌ی خود را به فروش برساند </w:t>
      </w:r>
      <w:r w:rsidR="007700C4">
        <w:rPr>
          <w:rFonts w:hint="cs"/>
          <w:rtl/>
        </w:rPr>
        <w:t>حین فروش طیب نفس ندارد ولی به جهت مصلحت بالاتر با رضایت و اختیار اقدام به این معامله می‏کند.</w:t>
      </w:r>
      <w:r w:rsidR="001B3BB1" w:rsidRPr="006162A2">
        <w:rPr>
          <w:rtl/>
        </w:rPr>
        <w:t xml:space="preserve"> </w:t>
      </w:r>
    </w:p>
    <w:p w:rsidR="00566CA0" w:rsidRPr="006162A2" w:rsidRDefault="00566CA0" w:rsidP="00566CA0">
      <w:pPr>
        <w:spacing w:line="480" w:lineRule="auto"/>
        <w:rPr>
          <w:rtl/>
        </w:rPr>
      </w:pPr>
      <w:r>
        <w:rPr>
          <w:rFonts w:hint="cs"/>
          <w:rtl/>
        </w:rPr>
        <w:t>بنا بر این در تحقق عقد إجاره شروط «قصد» و «اختیار» برای متعاقدین جزء شروط ضروری به شمار می‎آید و إن شاء الله ادامه جلسات را طبق روال بر اساس متن تحریر الوسیله‎ی مرحوم امام ادامه خواهیم داد.</w:t>
      </w:r>
      <w:bookmarkStart w:id="5" w:name="_GoBack"/>
      <w:bookmarkEnd w:id="5"/>
    </w:p>
    <w:sectPr w:rsidR="00566CA0" w:rsidRPr="006162A2" w:rsidSect="00B445D6">
      <w:headerReference w:type="default" r:id="rId9"/>
      <w:footerReference w:type="default" r:id="rId10"/>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60C3" w:rsidRDefault="007760C3" w:rsidP="008B750B">
      <w:pPr>
        <w:spacing w:line="240" w:lineRule="auto"/>
      </w:pPr>
      <w:r>
        <w:separator/>
      </w:r>
    </w:p>
  </w:endnote>
  <w:endnote w:type="continuationSeparator" w:id="0">
    <w:p w:rsidR="007760C3" w:rsidRDefault="007760C3"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C12975" w:rsidRPr="00C12975">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60C3" w:rsidRDefault="007760C3" w:rsidP="008B750B">
      <w:pPr>
        <w:spacing w:line="240" w:lineRule="auto"/>
      </w:pPr>
      <w:r>
        <w:separator/>
      </w:r>
    </w:p>
  </w:footnote>
  <w:footnote w:type="continuationSeparator" w:id="0">
    <w:p w:rsidR="007760C3" w:rsidRDefault="007760C3" w:rsidP="008B750B">
      <w:pPr>
        <w:spacing w:line="240" w:lineRule="auto"/>
      </w:pPr>
      <w:r>
        <w:continuationSeparator/>
      </w:r>
    </w:p>
  </w:footnote>
  <w:footnote w:id="1">
    <w:p w:rsidR="002D6F69" w:rsidRPr="001B3BB1" w:rsidRDefault="002D6F69" w:rsidP="002D6F69">
      <w:pPr>
        <w:pStyle w:val="FootnoteText"/>
        <w:rPr>
          <w:sz w:val="24"/>
          <w:szCs w:val="24"/>
          <w:rtl/>
        </w:rPr>
      </w:pPr>
      <w:r w:rsidRPr="001B3BB1">
        <w:rPr>
          <w:sz w:val="24"/>
          <w:szCs w:val="24"/>
        </w:rPr>
        <w:footnoteRef/>
      </w:r>
      <w:r w:rsidRPr="001B3BB1">
        <w:rPr>
          <w:sz w:val="24"/>
          <w:szCs w:val="24"/>
          <w:rtl/>
        </w:rPr>
        <w:t xml:space="preserve"> </w:t>
      </w:r>
      <w:hyperlink r:id="rId1" w:history="1">
        <w:r w:rsidRPr="001B3BB1">
          <w:rPr>
            <w:rStyle w:val="Hyperlink"/>
            <w:sz w:val="24"/>
            <w:szCs w:val="24"/>
            <w:rtl/>
          </w:rPr>
          <w:t>تذكرة الفقهاء، العلامة الحلي، ج14، ص186.</w:t>
        </w:r>
      </w:hyperlink>
    </w:p>
  </w:footnote>
  <w:footnote w:id="2">
    <w:p w:rsidR="00906892" w:rsidRPr="001B3BB1" w:rsidRDefault="00906892" w:rsidP="00906892">
      <w:pPr>
        <w:pStyle w:val="FootnoteText"/>
        <w:rPr>
          <w:rFonts w:hint="cs"/>
          <w:sz w:val="24"/>
          <w:szCs w:val="24"/>
        </w:rPr>
      </w:pPr>
      <w:r w:rsidRPr="001B3BB1">
        <w:rPr>
          <w:sz w:val="24"/>
          <w:szCs w:val="24"/>
        </w:rPr>
        <w:footnoteRef/>
      </w:r>
      <w:r w:rsidRPr="001B3BB1">
        <w:rPr>
          <w:sz w:val="24"/>
          <w:szCs w:val="24"/>
          <w:rtl/>
        </w:rPr>
        <w:t xml:space="preserve"> </w:t>
      </w:r>
      <w:hyperlink r:id="rId2" w:history="1">
        <w:r w:rsidRPr="001B3BB1">
          <w:rPr>
            <w:rStyle w:val="Hyperlink"/>
            <w:sz w:val="24"/>
            <w:szCs w:val="24"/>
            <w:rtl/>
          </w:rPr>
          <w:t>تحرير الوسيلة - ط نشر آثار، الخميني، السيد روح الله</w:t>
        </w:r>
        <w:r w:rsidRPr="001B3BB1">
          <w:rPr>
            <w:rStyle w:val="Hyperlink"/>
            <w:sz w:val="24"/>
            <w:szCs w:val="24"/>
            <w:rtl/>
          </w:rPr>
          <w:t>،</w:t>
        </w:r>
        <w:r w:rsidRPr="001B3BB1">
          <w:rPr>
            <w:rStyle w:val="Hyperlink"/>
            <w:sz w:val="24"/>
            <w:szCs w:val="24"/>
            <w:rtl/>
          </w:rPr>
          <w:t xml:space="preserve"> ج1، ص607.</w:t>
        </w:r>
      </w:hyperlink>
    </w:p>
  </w:footnote>
  <w:footnote w:id="3">
    <w:p w:rsidR="000364FC" w:rsidRPr="001B3BB1" w:rsidRDefault="000364FC" w:rsidP="000364FC">
      <w:pPr>
        <w:pStyle w:val="FootnoteText"/>
        <w:rPr>
          <w:rFonts w:hint="cs"/>
          <w:sz w:val="24"/>
          <w:szCs w:val="24"/>
          <w:rtl/>
        </w:rPr>
      </w:pPr>
      <w:r w:rsidRPr="001B3BB1">
        <w:rPr>
          <w:sz w:val="24"/>
          <w:szCs w:val="24"/>
        </w:rPr>
        <w:footnoteRef/>
      </w:r>
      <w:r w:rsidRPr="001B3BB1">
        <w:rPr>
          <w:sz w:val="24"/>
          <w:szCs w:val="24"/>
          <w:rtl/>
        </w:rPr>
        <w:t xml:space="preserve"> </w:t>
      </w:r>
      <w:hyperlink r:id="rId3" w:history="1">
        <w:r w:rsidRPr="001B3BB1">
          <w:rPr>
            <w:rStyle w:val="Hyperlink"/>
            <w:sz w:val="24"/>
            <w:szCs w:val="24"/>
            <w:rtl/>
          </w:rPr>
          <w:t>كتاب المكاسب (للشيخ الأنصاري) ط تراث الشي</w:t>
        </w:r>
        <w:r w:rsidRPr="001B3BB1">
          <w:rPr>
            <w:rStyle w:val="Hyperlink"/>
            <w:sz w:val="24"/>
            <w:szCs w:val="24"/>
            <w:rtl/>
          </w:rPr>
          <w:t>خ</w:t>
        </w:r>
        <w:r w:rsidRPr="001B3BB1">
          <w:rPr>
            <w:rStyle w:val="Hyperlink"/>
            <w:sz w:val="24"/>
            <w:szCs w:val="24"/>
            <w:rtl/>
          </w:rPr>
          <w:t xml:space="preserve"> الأعظم، الشيخ مرتضى الأنصاري، ج3، ص295.</w:t>
        </w:r>
      </w:hyperlink>
    </w:p>
  </w:footnote>
  <w:footnote w:id="4">
    <w:p w:rsidR="003A0E3B" w:rsidRPr="001B3BB1" w:rsidRDefault="003A0E3B" w:rsidP="003A0E3B">
      <w:pPr>
        <w:pStyle w:val="FootnoteText"/>
        <w:rPr>
          <w:rFonts w:hint="cs"/>
          <w:sz w:val="24"/>
          <w:szCs w:val="24"/>
          <w:rtl/>
        </w:rPr>
      </w:pPr>
      <w:r w:rsidRPr="001B3BB1">
        <w:rPr>
          <w:sz w:val="24"/>
          <w:szCs w:val="24"/>
        </w:rPr>
        <w:footnoteRef/>
      </w:r>
      <w:r w:rsidRPr="001B3BB1">
        <w:rPr>
          <w:sz w:val="24"/>
          <w:szCs w:val="24"/>
          <w:rtl/>
        </w:rPr>
        <w:t xml:space="preserve"> </w:t>
      </w:r>
      <w:hyperlink r:id="rId4" w:history="1">
        <w:r w:rsidRPr="001B3BB1">
          <w:rPr>
            <w:rStyle w:val="Hyperlink"/>
            <w:sz w:val="24"/>
            <w:szCs w:val="24"/>
            <w:rtl/>
          </w:rPr>
          <w:t>كتاب المكاسب (للشيخ الأنصاري) ط تراث الشي</w:t>
        </w:r>
        <w:r w:rsidRPr="001B3BB1">
          <w:rPr>
            <w:rStyle w:val="Hyperlink"/>
            <w:sz w:val="24"/>
            <w:szCs w:val="24"/>
            <w:rtl/>
          </w:rPr>
          <w:t>خ</w:t>
        </w:r>
        <w:r w:rsidRPr="001B3BB1">
          <w:rPr>
            <w:rStyle w:val="Hyperlink"/>
            <w:sz w:val="24"/>
            <w:szCs w:val="24"/>
            <w:rtl/>
          </w:rPr>
          <w:t xml:space="preserve"> الأعظم، الشيخ مرتضى الأنصاري، ج3، ص307.</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F82994">
      <w:rPr>
        <w:sz w:val="20"/>
        <w:szCs w:val="24"/>
        <w:rtl/>
      </w:rPr>
      <w:t>023</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F82994">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F82994">
      <w:rPr>
        <w:color w:val="632423" w:themeColor="accent2" w:themeShade="80"/>
        <w:sz w:val="20"/>
        <w:szCs w:val="24"/>
        <w:rtl/>
      </w:rPr>
      <w:t>استاد مرتض</w:t>
    </w:r>
    <w:r w:rsidR="00F82994">
      <w:rPr>
        <w:rFonts w:hint="cs"/>
        <w:color w:val="632423" w:themeColor="accent2" w:themeShade="80"/>
        <w:sz w:val="20"/>
        <w:szCs w:val="24"/>
        <w:rtl/>
      </w:rPr>
      <w:t>ی</w:t>
    </w:r>
    <w:r w:rsidR="00F82994">
      <w:rPr>
        <w:color w:val="632423" w:themeColor="accent2" w:themeShade="80"/>
        <w:sz w:val="20"/>
        <w:szCs w:val="24"/>
        <w:rtl/>
      </w:rPr>
      <w:t xml:space="preserve"> مقتدائ</w:t>
    </w:r>
    <w:r w:rsidR="00F82994">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F82994">
      <w:rPr>
        <w:sz w:val="24"/>
        <w:szCs w:val="24"/>
        <w:rtl/>
      </w:rPr>
      <w:t>11/8/1400 - سه 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F82994">
      <w:rPr>
        <w:sz w:val="24"/>
        <w:szCs w:val="24"/>
        <w:rtl/>
      </w:rPr>
      <w:t>عل</w:t>
    </w:r>
    <w:r w:rsidR="00F82994">
      <w:rPr>
        <w:rFonts w:hint="cs"/>
        <w:sz w:val="24"/>
        <w:szCs w:val="24"/>
        <w:rtl/>
      </w:rPr>
      <w:t>ی</w:t>
    </w:r>
    <w:r w:rsidR="00F82994">
      <w:rPr>
        <w:sz w:val="24"/>
        <w:szCs w:val="24"/>
        <w:rtl/>
      </w:rPr>
      <w:t xml:space="preserve"> پاشائ</w:t>
    </w:r>
    <w:r w:rsidR="00F82994">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F82994">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F82994">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F82994">
      <w:rPr>
        <w:sz w:val="24"/>
        <w:szCs w:val="24"/>
        <w:rtl/>
      </w:rPr>
      <w:t xml:space="preserve">شرط عقل </w:t>
    </w:r>
    <w:r w:rsidR="001B3BB1">
      <w:rPr>
        <w:rFonts w:hint="cs"/>
        <w:sz w:val="24"/>
        <w:szCs w:val="24"/>
        <w:rtl/>
      </w:rPr>
      <w:t xml:space="preserve">و اختیار </w:t>
    </w:r>
    <w:r w:rsidR="00F82994">
      <w:rPr>
        <w:sz w:val="24"/>
        <w:szCs w:val="24"/>
        <w:rtl/>
      </w:rPr>
      <w:t>در متعاقد</w:t>
    </w:r>
    <w:r w:rsidR="00F82994">
      <w:rPr>
        <w:rFonts w:hint="cs"/>
        <w:sz w:val="24"/>
        <w:szCs w:val="24"/>
        <w:rtl/>
      </w:rPr>
      <w:t>ین</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364FC"/>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3BB1"/>
    <w:rsid w:val="001B6799"/>
    <w:rsid w:val="001C1362"/>
    <w:rsid w:val="001C67C3"/>
    <w:rsid w:val="001D0E04"/>
    <w:rsid w:val="001D2E9A"/>
    <w:rsid w:val="001D597F"/>
    <w:rsid w:val="001E3FD4"/>
    <w:rsid w:val="0020241A"/>
    <w:rsid w:val="00203821"/>
    <w:rsid w:val="0021204F"/>
    <w:rsid w:val="0021630D"/>
    <w:rsid w:val="00220013"/>
    <w:rsid w:val="00233DC4"/>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D6F69"/>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0E3B"/>
    <w:rsid w:val="003A6148"/>
    <w:rsid w:val="003A7B42"/>
    <w:rsid w:val="003C33F6"/>
    <w:rsid w:val="003C3D2E"/>
    <w:rsid w:val="003C43A5"/>
    <w:rsid w:val="003E194D"/>
    <w:rsid w:val="003E1C5C"/>
    <w:rsid w:val="003E7FDC"/>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71AA"/>
    <w:rsid w:val="004926E1"/>
    <w:rsid w:val="004949A0"/>
    <w:rsid w:val="004A2FEA"/>
    <w:rsid w:val="004D75C5"/>
    <w:rsid w:val="004E2186"/>
    <w:rsid w:val="004E354D"/>
    <w:rsid w:val="004E66FB"/>
    <w:rsid w:val="004F470A"/>
    <w:rsid w:val="004F4C59"/>
    <w:rsid w:val="00500C8F"/>
    <w:rsid w:val="00501909"/>
    <w:rsid w:val="005128DF"/>
    <w:rsid w:val="00515335"/>
    <w:rsid w:val="005206FE"/>
    <w:rsid w:val="005257ED"/>
    <w:rsid w:val="005306F8"/>
    <w:rsid w:val="0054023D"/>
    <w:rsid w:val="0056213C"/>
    <w:rsid w:val="00566CA0"/>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1740A"/>
    <w:rsid w:val="0072290D"/>
    <w:rsid w:val="00723D6D"/>
    <w:rsid w:val="00724537"/>
    <w:rsid w:val="00731724"/>
    <w:rsid w:val="0073474B"/>
    <w:rsid w:val="00735511"/>
    <w:rsid w:val="007424AE"/>
    <w:rsid w:val="00743EA1"/>
    <w:rsid w:val="00744DE6"/>
    <w:rsid w:val="00756A83"/>
    <w:rsid w:val="00762452"/>
    <w:rsid w:val="007639E0"/>
    <w:rsid w:val="007700C4"/>
    <w:rsid w:val="00775507"/>
    <w:rsid w:val="007760C3"/>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A69E4"/>
    <w:rsid w:val="008B4464"/>
    <w:rsid w:val="008B750B"/>
    <w:rsid w:val="008C3162"/>
    <w:rsid w:val="008D058A"/>
    <w:rsid w:val="008E3924"/>
    <w:rsid w:val="008F13F7"/>
    <w:rsid w:val="008F5B4D"/>
    <w:rsid w:val="009031B0"/>
    <w:rsid w:val="00906892"/>
    <w:rsid w:val="00907425"/>
    <w:rsid w:val="00911E41"/>
    <w:rsid w:val="00921EDB"/>
    <w:rsid w:val="009233B2"/>
    <w:rsid w:val="00923C34"/>
    <w:rsid w:val="00924152"/>
    <w:rsid w:val="0092513D"/>
    <w:rsid w:val="00927A9F"/>
    <w:rsid w:val="009335CC"/>
    <w:rsid w:val="00935A55"/>
    <w:rsid w:val="009370F5"/>
    <w:rsid w:val="00941CEB"/>
    <w:rsid w:val="00952B12"/>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9C5"/>
    <w:rsid w:val="009F7E07"/>
    <w:rsid w:val="00A023EC"/>
    <w:rsid w:val="00A07B62"/>
    <w:rsid w:val="00A10A11"/>
    <w:rsid w:val="00A13C6A"/>
    <w:rsid w:val="00A17B09"/>
    <w:rsid w:val="00A448F7"/>
    <w:rsid w:val="00A457C6"/>
    <w:rsid w:val="00A46AD0"/>
    <w:rsid w:val="00A47063"/>
    <w:rsid w:val="00A47208"/>
    <w:rsid w:val="00A473A8"/>
    <w:rsid w:val="00A553F3"/>
    <w:rsid w:val="00A61AC8"/>
    <w:rsid w:val="00A65D4C"/>
    <w:rsid w:val="00A84BBB"/>
    <w:rsid w:val="00AA40D7"/>
    <w:rsid w:val="00AB0C79"/>
    <w:rsid w:val="00AB5F7D"/>
    <w:rsid w:val="00AC0C50"/>
    <w:rsid w:val="00AC4412"/>
    <w:rsid w:val="00AC6FE2"/>
    <w:rsid w:val="00AD53AC"/>
    <w:rsid w:val="00AF3925"/>
    <w:rsid w:val="00B011DA"/>
    <w:rsid w:val="00B2292F"/>
    <w:rsid w:val="00B27399"/>
    <w:rsid w:val="00B41AEE"/>
    <w:rsid w:val="00B43169"/>
    <w:rsid w:val="00B445D6"/>
    <w:rsid w:val="00B55AE4"/>
    <w:rsid w:val="00B62AF0"/>
    <w:rsid w:val="00B739B0"/>
    <w:rsid w:val="00B814A3"/>
    <w:rsid w:val="00B900CE"/>
    <w:rsid w:val="00B96F38"/>
    <w:rsid w:val="00BB0087"/>
    <w:rsid w:val="00BD0E74"/>
    <w:rsid w:val="00BD5F8C"/>
    <w:rsid w:val="00BE0D9D"/>
    <w:rsid w:val="00BE29DD"/>
    <w:rsid w:val="00BF0B7D"/>
    <w:rsid w:val="00C00F50"/>
    <w:rsid w:val="00C066AF"/>
    <w:rsid w:val="00C10E06"/>
    <w:rsid w:val="00C12975"/>
    <w:rsid w:val="00C145B8"/>
    <w:rsid w:val="00C2438F"/>
    <w:rsid w:val="00C2579C"/>
    <w:rsid w:val="00C31263"/>
    <w:rsid w:val="00C32A7E"/>
    <w:rsid w:val="00C34F28"/>
    <w:rsid w:val="00C368DF"/>
    <w:rsid w:val="00C44656"/>
    <w:rsid w:val="00C57B5C"/>
    <w:rsid w:val="00C61049"/>
    <w:rsid w:val="00C63FFE"/>
    <w:rsid w:val="00C67E39"/>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CF1D29"/>
    <w:rsid w:val="00D048CE"/>
    <w:rsid w:val="00D10998"/>
    <w:rsid w:val="00D1622A"/>
    <w:rsid w:val="00D23391"/>
    <w:rsid w:val="00D31805"/>
    <w:rsid w:val="00D42915"/>
    <w:rsid w:val="00D552B9"/>
    <w:rsid w:val="00D6541C"/>
    <w:rsid w:val="00D74021"/>
    <w:rsid w:val="00D76D01"/>
    <w:rsid w:val="00D84853"/>
    <w:rsid w:val="00D922A9"/>
    <w:rsid w:val="00D9394A"/>
    <w:rsid w:val="00DA5E84"/>
    <w:rsid w:val="00DB0CBB"/>
    <w:rsid w:val="00DB67CC"/>
    <w:rsid w:val="00DC00B3"/>
    <w:rsid w:val="00DD3512"/>
    <w:rsid w:val="00DD4CF8"/>
    <w:rsid w:val="00DD7EE4"/>
    <w:rsid w:val="00DE1070"/>
    <w:rsid w:val="00DF5346"/>
    <w:rsid w:val="00E00219"/>
    <w:rsid w:val="00E0316B"/>
    <w:rsid w:val="00E12E7B"/>
    <w:rsid w:val="00E139AB"/>
    <w:rsid w:val="00E14666"/>
    <w:rsid w:val="00E160E7"/>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D2226"/>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2994"/>
    <w:rsid w:val="00F842AD"/>
    <w:rsid w:val="00F914EB"/>
    <w:rsid w:val="00F91B85"/>
    <w:rsid w:val="00FA3B17"/>
    <w:rsid w:val="00FA5E8D"/>
    <w:rsid w:val="00FA5F3D"/>
    <w:rsid w:val="00FB399E"/>
    <w:rsid w:val="00FB7F50"/>
    <w:rsid w:val="00FC2A85"/>
    <w:rsid w:val="00FC2C40"/>
    <w:rsid w:val="00FC40AF"/>
    <w:rsid w:val="00FD0A16"/>
    <w:rsid w:val="00FD48A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613152"/>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2D6F6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0141/3/295/&#1740;&#1578;&#1604;&#1601;&#1617;&#1592;&#1575;&#1606;" TargetMode="External"/><Relationship Id="rId2" Type="http://schemas.openxmlformats.org/officeDocument/2006/relationships/hyperlink" Target="http://lib.eshia.ir/10172/1/607/&#1575;&#1604;&#1602;&#1589;&#1583;" TargetMode="External"/><Relationship Id="rId1" Type="http://schemas.openxmlformats.org/officeDocument/2006/relationships/hyperlink" Target="http://lib.eshia.ir/10075/14/186/&#1576;&#1575;&#1604;&#1586;&#1594;&#1576;" TargetMode="External"/><Relationship Id="rId4" Type="http://schemas.openxmlformats.org/officeDocument/2006/relationships/hyperlink" Target="http://lib.eshia.ir/10141/3/307/&#1575;&#1604;&#1605;&#1585;&#1575;&#158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E9B9BD-3168-4150-8F22-6002830A3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4796</TotalTime>
  <Pages>5</Pages>
  <Words>1528</Words>
  <Characters>6006</Characters>
  <Application>Microsoft Office Word</Application>
  <DocSecurity>0</DocSecurity>
  <Lines>74</Lines>
  <Paragraphs>21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7568</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11</cp:revision>
  <dcterms:created xsi:type="dcterms:W3CDTF">2021-12-01T02:25:00Z</dcterms:created>
  <dcterms:modified xsi:type="dcterms:W3CDTF">2021-12-04T15:29:00Z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14000811</vt:lpwstr>
  </property>
  <property fmtid="{D5CDD505-2E9C-101B-9397-08002B2CF9AE}" pid="6" name="SpecialTopic">
    <vt:lpwstr>شرط عقل در متعاقدین</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023</vt:lpwstr>
  </property>
  <property fmtid="{D5CDD505-2E9C-101B-9397-08002B2CF9AE}" pid="10" name="Day">
    <vt:lpwstr>سه شنبه</vt:lpwstr>
  </property>
</Properties>
</file>