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3F" w:rsidRDefault="0060683F" w:rsidP="003848D8">
      <w:pPr>
        <w:pStyle w:val="Heading10"/>
        <w:rPr>
          <w:rStyle w:val="Emphasis"/>
          <w:rtl/>
        </w:rPr>
      </w:pPr>
      <w:bookmarkStart w:id="0" w:name="_GoBack"/>
      <w:bookmarkEnd w:id="0"/>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1" w:name="FehStart"/>
      <w:bookmarkEnd w:id="1"/>
    </w:p>
    <w:p w:rsidR="00F343FB" w:rsidRDefault="00F842AD" w:rsidP="00C100F9">
      <w:pPr>
        <w:spacing w:line="480" w:lineRule="auto"/>
        <w:rPr>
          <w:rtl/>
        </w:rPr>
      </w:pPr>
      <w:r w:rsidRPr="00122C9D">
        <w:rPr>
          <w:rStyle w:val="Emphasis"/>
          <w:rFonts w:hint="cs"/>
          <w:b/>
          <w:bCs w:val="0"/>
          <w:color w:val="FF0000"/>
          <w:rtl/>
        </w:rPr>
        <w:t>موضوع:</w:t>
      </w:r>
      <w:r>
        <w:rPr>
          <w:rFonts w:hint="cs"/>
          <w:rtl/>
        </w:rPr>
        <w:t xml:space="preserve"> </w:t>
      </w:r>
      <w:bookmarkStart w:id="2" w:name="Bokkolli"/>
      <w:bookmarkEnd w:id="2"/>
      <w:r w:rsidR="00553DAE">
        <w:rPr>
          <w:rtl/>
        </w:rPr>
        <w:t>كتاب الإجارة</w:t>
      </w:r>
      <w:r w:rsidR="00724537">
        <w:rPr>
          <w:rFonts w:hint="cs"/>
          <w:rtl/>
        </w:rPr>
        <w:t>/</w:t>
      </w:r>
      <w:bookmarkStart w:id="3" w:name="BokSabj_d"/>
      <w:bookmarkEnd w:id="3"/>
      <w:r w:rsidR="00553DAE">
        <w:rPr>
          <w:rtl/>
        </w:rPr>
        <w:t>أركان الإجارة</w:t>
      </w:r>
      <w:r w:rsidR="00596C1E">
        <w:rPr>
          <w:rFonts w:hint="cs"/>
          <w:rtl/>
        </w:rPr>
        <w:t xml:space="preserve"> </w:t>
      </w:r>
      <w:r w:rsidR="00724537">
        <w:rPr>
          <w:rFonts w:hint="cs"/>
          <w:rtl/>
        </w:rPr>
        <w:t>/</w:t>
      </w:r>
      <w:bookmarkStart w:id="4" w:name="BokSabj2_d"/>
      <w:bookmarkEnd w:id="4"/>
      <w:r w:rsidR="00553DAE">
        <w:rPr>
          <w:rtl/>
        </w:rPr>
        <w:t>تعر</w:t>
      </w:r>
      <w:r w:rsidR="00553DAE">
        <w:rPr>
          <w:rFonts w:hint="cs"/>
          <w:rtl/>
        </w:rPr>
        <w:t>یف</w:t>
      </w:r>
      <w:r w:rsidR="00553DAE">
        <w:rPr>
          <w:rtl/>
        </w:rPr>
        <w:t xml:space="preserve"> بلوغ و علائم آن</w:t>
      </w:r>
      <w:r w:rsidR="001B6799">
        <w:rPr>
          <w:rFonts w:hint="cs"/>
          <w:rtl/>
        </w:rPr>
        <w:t xml:space="preserve"> </w:t>
      </w:r>
    </w:p>
    <w:p w:rsidR="00F14262" w:rsidRDefault="00FE31EF" w:rsidP="00304BDE">
      <w:pPr>
        <w:spacing w:line="480" w:lineRule="auto"/>
        <w:rPr>
          <w:color w:val="000000"/>
          <w:rtl/>
        </w:rPr>
      </w:pPr>
      <w:r w:rsidRPr="00FE31EF">
        <w:rPr>
          <w:rFonts w:hint="cs"/>
          <w:color w:val="FF0000"/>
          <w:rtl/>
        </w:rPr>
        <w:t xml:space="preserve">خلاصه بحث: </w:t>
      </w:r>
      <w:r>
        <w:rPr>
          <w:rFonts w:hint="cs"/>
          <w:rtl/>
        </w:rPr>
        <w:t>بحث درباره</w:t>
      </w:r>
      <w:r>
        <w:rPr>
          <w:cs/>
        </w:rPr>
        <w:t>‎</w:t>
      </w:r>
      <w:r>
        <w:rPr>
          <w:rFonts w:hint="cs"/>
          <w:rtl/>
        </w:rPr>
        <w:t>ی شرائط إجاره بود و به تفصیل مورد بحث قرار گرفت؛ به جهت این که یکی از شرائط صحت إجاره، بلوغ متعاقدین می‌باشد شرط بلوغ را به عنوان موضوع بحث انتخاب کردیم؛ معنای لغوی و اصطلاحی بلوغ بیان شد؛ یکی از معانی لغوی «بَلَغَ» به معنای «رسید» است و در آیات قرآن کریم این لغت در همین معنا استعمالات متعددی دارد مانند آیه</w:t>
      </w:r>
      <w:r>
        <w:rPr>
          <w:cs/>
        </w:rPr>
        <w:t>‎</w:t>
      </w:r>
      <w:r>
        <w:rPr>
          <w:rFonts w:hint="cs"/>
          <w:rtl/>
        </w:rPr>
        <w:t>ی:</w:t>
      </w:r>
      <w:r w:rsidR="00AB6F5F">
        <w:rPr>
          <w:rFonts w:hint="cs"/>
          <w:rtl/>
        </w:rPr>
        <w:t xml:space="preserve"> </w:t>
      </w:r>
      <w:r w:rsidR="00304BDE">
        <w:rPr>
          <w:color w:val="007200"/>
          <w:rtl/>
        </w:rPr>
        <w:t>﴿فَلَمَّا بَلَغَ مَعَهُ السَّعْيَ قَالَ يَا بُنَيَّ إِنِّي أَرَى فِي الْمَنَامِ أَنِّي أَذْبَحُكَ فَانظُرْ مَاذَا تَرَى قَالَ يَا أَبَتِ افْعَلْ مَا تُؤْمَرُ سَتَجِدُنِي إِن شَاء اللَّهُ مِنَ الصَّابِرِينَ﴾</w:t>
      </w:r>
      <w:r w:rsidR="00AB6F5F" w:rsidRPr="00AB6F5F">
        <w:rPr>
          <w:rStyle w:val="FootnoteReference"/>
          <w:color w:val="000000"/>
          <w:rtl/>
        </w:rPr>
        <w:footnoteReference w:id="1"/>
      </w:r>
      <w:r w:rsidR="00AB6F5F" w:rsidRPr="00AB6F5F">
        <w:rPr>
          <w:rFonts w:hint="cs"/>
          <w:color w:val="000000"/>
          <w:rtl/>
        </w:rPr>
        <w:t>«</w:t>
      </w:r>
      <w:r w:rsidR="00AB6F5F" w:rsidRPr="00AB6F5F">
        <w:rPr>
          <w:color w:val="000000"/>
          <w:rtl/>
        </w:rPr>
        <w:t>هنگامى كه با او به مقام سعى و كوشش و حد رشد رسيد، گفت: «پسرم! من در خواب ديدم كه تو را ذبح مى‌كنم، پس بنگر رأى تو چيست؟» گفت: «پدرم! هر چه دستور دارى اجرا كن، به خواست خدا مرا از صابران خواهى يافت.»</w:t>
      </w:r>
      <w:r w:rsidR="00AB6F5F">
        <w:rPr>
          <w:rStyle w:val="FootnoteReference"/>
          <w:color w:val="000000"/>
          <w:rtl/>
        </w:rPr>
        <w:footnoteReference w:id="2"/>
      </w:r>
      <w:r w:rsidR="00F14262">
        <w:rPr>
          <w:rFonts w:hint="cs"/>
          <w:color w:val="000000"/>
          <w:rtl/>
        </w:rPr>
        <w:t xml:space="preserve"> در این آیه</w:t>
      </w:r>
      <w:r w:rsidR="00F14262">
        <w:rPr>
          <w:color w:val="000000"/>
          <w:cs/>
        </w:rPr>
        <w:t>‎</w:t>
      </w:r>
      <w:r w:rsidR="00F14262">
        <w:rPr>
          <w:rFonts w:hint="cs"/>
          <w:color w:val="000000"/>
          <w:rtl/>
        </w:rPr>
        <w:t>ی کریمه لغت «بَلَغَ» به معنای «رسید» استعمال شده است و اما از باب تیمّن چند آیه</w:t>
      </w:r>
      <w:r w:rsidR="00F14262">
        <w:rPr>
          <w:color w:val="000000"/>
          <w:cs/>
        </w:rPr>
        <w:t>‎</w:t>
      </w:r>
      <w:r w:rsidR="00F14262">
        <w:rPr>
          <w:rFonts w:hint="cs"/>
          <w:color w:val="000000"/>
          <w:rtl/>
        </w:rPr>
        <w:t>ی بعد را مورد قرائت قرار می</w:t>
      </w:r>
      <w:r w:rsidR="00F14262">
        <w:rPr>
          <w:color w:val="000000"/>
          <w:cs/>
        </w:rPr>
        <w:t>‎</w:t>
      </w:r>
      <w:r w:rsidR="00F14262">
        <w:rPr>
          <w:rFonts w:hint="cs"/>
          <w:color w:val="000000"/>
          <w:rtl/>
        </w:rPr>
        <w:t>دهیم:</w:t>
      </w:r>
    </w:p>
    <w:p w:rsidR="00AB6F5F" w:rsidRPr="00F14262" w:rsidRDefault="00F14262" w:rsidP="00C100F9">
      <w:pPr>
        <w:spacing w:line="480" w:lineRule="auto"/>
        <w:rPr>
          <w:color w:val="000000"/>
          <w:rtl/>
        </w:rPr>
      </w:pPr>
      <w:r>
        <w:rPr>
          <w:color w:val="007200"/>
          <w:rtl/>
        </w:rPr>
        <w:t>﴿فَلَمَّا أَسْلَمَا وَتَلَّهُ لِلْجَبِينِ﴾</w:t>
      </w:r>
      <w:r w:rsidRPr="00F14262">
        <w:rPr>
          <w:rStyle w:val="FootnoteReference"/>
          <w:color w:val="000000"/>
          <w:rtl/>
        </w:rPr>
        <w:footnoteReference w:id="3"/>
      </w:r>
      <w:r w:rsidRPr="00F14262">
        <w:rPr>
          <w:rFonts w:hint="cs"/>
          <w:color w:val="000000"/>
          <w:rtl/>
        </w:rPr>
        <w:t xml:space="preserve"> «</w:t>
      </w:r>
      <w:r w:rsidRPr="00F14262">
        <w:rPr>
          <w:color w:val="000000"/>
          <w:rtl/>
        </w:rPr>
        <w:t>هنگامى كه هر دو تسليم فرمان الهى شدند و ابراهيم پيشانى او را بر خاك نهاد</w:t>
      </w:r>
      <w:r w:rsidRPr="00F14262">
        <w:rPr>
          <w:rFonts w:hint="cs"/>
          <w:color w:val="000000"/>
          <w:rtl/>
        </w:rPr>
        <w:t>.»</w:t>
      </w:r>
      <w:r w:rsidRPr="00F14262">
        <w:rPr>
          <w:rStyle w:val="FootnoteReference"/>
          <w:color w:val="000000"/>
          <w:rtl/>
        </w:rPr>
        <w:footnoteReference w:id="4"/>
      </w:r>
    </w:p>
    <w:p w:rsidR="00F14262" w:rsidRDefault="00F14262" w:rsidP="00C100F9">
      <w:pPr>
        <w:spacing w:line="480" w:lineRule="auto"/>
        <w:rPr>
          <w:color w:val="000000"/>
          <w:rtl/>
        </w:rPr>
      </w:pPr>
      <w:r>
        <w:rPr>
          <w:color w:val="007200"/>
          <w:rtl/>
        </w:rPr>
        <w:t>﴿وَنَادَيْنَاهُ أَنْ يَا إِبْرَاهِيمُ﴾</w:t>
      </w:r>
      <w:r w:rsidRPr="00F14262">
        <w:rPr>
          <w:rStyle w:val="FootnoteReference"/>
          <w:color w:val="000000"/>
          <w:rtl/>
        </w:rPr>
        <w:footnoteReference w:id="5"/>
      </w:r>
      <w:r>
        <w:rPr>
          <w:rFonts w:hint="cs"/>
          <w:color w:val="007200"/>
          <w:rtl/>
        </w:rPr>
        <w:t xml:space="preserve"> </w:t>
      </w:r>
      <w:r>
        <w:rPr>
          <w:rFonts w:hint="cs"/>
          <w:color w:val="000000"/>
          <w:rtl/>
        </w:rPr>
        <w:t>«</w:t>
      </w:r>
      <w:r w:rsidRPr="00F14262">
        <w:rPr>
          <w:color w:val="000000"/>
          <w:rtl/>
        </w:rPr>
        <w:t>او را ندا داديم كه: «اى ابراهيم!</w:t>
      </w:r>
      <w:r>
        <w:rPr>
          <w:rFonts w:hint="cs"/>
          <w:color w:val="000000"/>
          <w:rtl/>
        </w:rPr>
        <w:t>»</w:t>
      </w:r>
      <w:r>
        <w:rPr>
          <w:rStyle w:val="FootnoteReference"/>
          <w:color w:val="000000"/>
          <w:rtl/>
        </w:rPr>
        <w:footnoteReference w:id="6"/>
      </w:r>
    </w:p>
    <w:p w:rsidR="00E33003" w:rsidRDefault="00E33003" w:rsidP="00C100F9">
      <w:pPr>
        <w:spacing w:line="480" w:lineRule="auto"/>
        <w:rPr>
          <w:color w:val="000000"/>
          <w:rtl/>
        </w:rPr>
      </w:pPr>
      <w:r>
        <w:rPr>
          <w:color w:val="007200"/>
          <w:rtl/>
        </w:rPr>
        <w:lastRenderedPageBreak/>
        <w:t>﴿قَدْ صَدَّقْتَ الرُّؤْيَا إِنَّا كَذَلِكَ نَجْزِي الْمُحْسِنِينَ﴾</w:t>
      </w:r>
      <w:r w:rsidRPr="00E33003">
        <w:rPr>
          <w:rStyle w:val="FootnoteReference"/>
          <w:color w:val="000000"/>
          <w:rtl/>
        </w:rPr>
        <w:footnoteReference w:id="7"/>
      </w:r>
      <w:r>
        <w:rPr>
          <w:rFonts w:hint="cs"/>
          <w:color w:val="007200"/>
          <w:rtl/>
        </w:rPr>
        <w:t xml:space="preserve"> </w:t>
      </w:r>
      <w:r>
        <w:rPr>
          <w:rFonts w:hint="cs"/>
          <w:color w:val="000000"/>
          <w:rtl/>
        </w:rPr>
        <w:t>«</w:t>
      </w:r>
      <w:r w:rsidRPr="00E33003">
        <w:rPr>
          <w:color w:val="000000"/>
          <w:rtl/>
        </w:rPr>
        <w:t>آن رويا را تحقق بخشيدى و آماده قربانى فرزند شدى).» ما اين گونه، نيكوكاران را پاداش مى‌دهيم.</w:t>
      </w:r>
      <w:r>
        <w:rPr>
          <w:rFonts w:hint="cs"/>
          <w:color w:val="000000"/>
          <w:rtl/>
        </w:rPr>
        <w:t>»</w:t>
      </w:r>
      <w:r>
        <w:rPr>
          <w:rStyle w:val="FootnoteReference"/>
          <w:color w:val="000000"/>
          <w:rtl/>
        </w:rPr>
        <w:footnoteReference w:id="8"/>
      </w:r>
    </w:p>
    <w:p w:rsidR="00E33003" w:rsidRDefault="00E33003" w:rsidP="00C100F9">
      <w:pPr>
        <w:spacing w:line="480" w:lineRule="auto"/>
        <w:rPr>
          <w:color w:val="000000"/>
          <w:rtl/>
        </w:rPr>
      </w:pPr>
      <w:r>
        <w:rPr>
          <w:color w:val="007200"/>
          <w:rtl/>
        </w:rPr>
        <w:t>﴿إِنَّ هَذَا لَهُوَ الْبَلَاء الْمُبِينُ﴾</w:t>
      </w:r>
      <w:r w:rsidRPr="00E33003">
        <w:rPr>
          <w:rStyle w:val="FootnoteReference"/>
          <w:color w:val="000000"/>
          <w:rtl/>
        </w:rPr>
        <w:footnoteReference w:id="9"/>
      </w:r>
      <w:r w:rsidRPr="00E33003">
        <w:rPr>
          <w:rFonts w:hint="cs"/>
          <w:color w:val="000000"/>
          <w:rtl/>
        </w:rPr>
        <w:t xml:space="preserve"> «</w:t>
      </w:r>
      <w:r w:rsidRPr="00E33003">
        <w:rPr>
          <w:color w:val="000000"/>
          <w:rtl/>
        </w:rPr>
        <w:t>آن رويا را تحقق بخشيدى و آماده قربانى فرزند شدى).» ما اين گونه، نيكوكاران را پاداش مى‌دهيم.</w:t>
      </w:r>
      <w:r>
        <w:rPr>
          <w:rFonts w:hint="cs"/>
          <w:color w:val="000000"/>
          <w:rtl/>
        </w:rPr>
        <w:t>»</w:t>
      </w:r>
      <w:r>
        <w:rPr>
          <w:rStyle w:val="FootnoteReference"/>
          <w:color w:val="000000"/>
          <w:rtl/>
        </w:rPr>
        <w:footnoteReference w:id="10"/>
      </w:r>
    </w:p>
    <w:p w:rsidR="009B2E7B" w:rsidRDefault="009B2E7B" w:rsidP="00C100F9">
      <w:pPr>
        <w:spacing w:line="480" w:lineRule="auto"/>
        <w:rPr>
          <w:color w:val="000000"/>
          <w:rtl/>
        </w:rPr>
      </w:pPr>
      <w:r>
        <w:rPr>
          <w:rFonts w:hint="cs"/>
          <w:color w:val="000000"/>
          <w:rtl/>
        </w:rPr>
        <w:t>تسلیم بودن در برابر خدا مراحل مختلفی دارد که حضرت ابراهیم و اسماعلیل علهیما السلام به عالی</w:t>
      </w:r>
      <w:r>
        <w:rPr>
          <w:color w:val="000000"/>
          <w:cs/>
        </w:rPr>
        <w:t>‎</w:t>
      </w:r>
      <w:r>
        <w:rPr>
          <w:rFonts w:hint="cs"/>
          <w:color w:val="000000"/>
          <w:rtl/>
        </w:rPr>
        <w:t xml:space="preserve">ترین درجات آن دست یافته بودند و باید منش این بزرگان در بندگی خدا الگوی ما قرار بگیرد و چقدر فاصله است بین تسلیم شدن امثال ما و این پیغمبران الهی. </w:t>
      </w:r>
    </w:p>
    <w:p w:rsidR="00EC2D8D" w:rsidRDefault="00E33003" w:rsidP="00C100F9">
      <w:pPr>
        <w:spacing w:line="480" w:lineRule="auto"/>
        <w:rPr>
          <w:rtl/>
        </w:rPr>
      </w:pPr>
      <w:r w:rsidRPr="009B2E7B">
        <w:rPr>
          <w:rFonts w:hint="cs"/>
          <w:color w:val="000000"/>
          <w:rtl/>
        </w:rPr>
        <w:t>مرحوم صاحب جواهر</w:t>
      </w:r>
      <w:r w:rsidR="009B2E7B" w:rsidRPr="009B2E7B">
        <w:rPr>
          <w:rFonts w:hint="cs"/>
          <w:color w:val="000000"/>
          <w:rtl/>
        </w:rPr>
        <w:t xml:space="preserve"> در بیان معنای لغوی «بلغ» استناد به کتب لغوی نموده</w:t>
      </w:r>
      <w:r w:rsidR="009B2E7B" w:rsidRPr="009B2E7B">
        <w:rPr>
          <w:color w:val="000000"/>
          <w:cs/>
        </w:rPr>
        <w:t>‎</w:t>
      </w:r>
      <w:r w:rsidR="009B2E7B" w:rsidRPr="009B2E7B">
        <w:rPr>
          <w:rFonts w:hint="cs"/>
          <w:color w:val="000000"/>
          <w:rtl/>
        </w:rPr>
        <w:t xml:space="preserve">اند از جمله عبارت «مصباح»: </w:t>
      </w:r>
      <w:r w:rsidRPr="009B2E7B">
        <w:rPr>
          <w:color w:val="000000"/>
          <w:rtl/>
        </w:rPr>
        <w:t>«</w:t>
      </w:r>
      <w:r w:rsidRPr="009B2E7B">
        <w:rPr>
          <w:color w:val="000080"/>
          <w:rtl/>
        </w:rPr>
        <w:t>حلم الصبي واحتلم: أدرك وبلغ مبالغ الرجال: فهو حالم ومحتلم» بل عنه أيضا «أدرك الغلام: بلغ الحلم، وبلغ الصبي احتلم وأدرك</w:t>
      </w:r>
      <w:r w:rsidR="009B2E7B" w:rsidRPr="003B623D">
        <w:rPr>
          <w:rFonts w:hint="cs"/>
          <w:color w:val="000080"/>
          <w:rtl/>
        </w:rPr>
        <w:t>.</w:t>
      </w:r>
      <w:r w:rsidRPr="003B623D">
        <w:rPr>
          <w:color w:val="000000"/>
          <w:rtl/>
        </w:rPr>
        <w:t>»</w:t>
      </w:r>
      <w:r w:rsidR="009B2E7B" w:rsidRPr="003B623D">
        <w:rPr>
          <w:rStyle w:val="FootnoteReference"/>
          <w:color w:val="000000"/>
          <w:rtl/>
        </w:rPr>
        <w:footnoteReference w:id="11"/>
      </w:r>
      <w:r w:rsidR="009B2E7B" w:rsidRPr="003B623D">
        <w:rPr>
          <w:rFonts w:hint="cs"/>
          <w:color w:val="000000"/>
          <w:rtl/>
        </w:rPr>
        <w:t xml:space="preserve"> </w:t>
      </w:r>
      <w:r w:rsidR="00316E4A" w:rsidRPr="003B623D">
        <w:rPr>
          <w:rFonts w:hint="cs"/>
          <w:color w:val="000000"/>
          <w:highlight w:val="yellow"/>
          <w:rtl/>
        </w:rPr>
        <w:t>بعد از دوران</w:t>
      </w:r>
      <w:r w:rsidR="00316E4A" w:rsidRPr="003B623D">
        <w:rPr>
          <w:rFonts w:hint="cs"/>
          <w:color w:val="000000"/>
          <w:rtl/>
        </w:rPr>
        <w:t xml:space="preserve"> کودکی مرحله</w:t>
      </w:r>
      <w:r w:rsidR="00316E4A" w:rsidRPr="003B623D">
        <w:rPr>
          <w:color w:val="000000"/>
          <w:cs/>
        </w:rPr>
        <w:t>‎</w:t>
      </w:r>
      <w:r w:rsidR="00304BDE">
        <w:rPr>
          <w:rFonts w:hint="cs"/>
          <w:color w:val="000000"/>
          <w:rtl/>
        </w:rPr>
        <w:t>ی بلوغ فرا‌</w:t>
      </w:r>
      <w:r w:rsidR="00316E4A" w:rsidRPr="003B623D">
        <w:rPr>
          <w:rFonts w:hint="cs"/>
          <w:color w:val="000000"/>
          <w:rtl/>
        </w:rPr>
        <w:t>می</w:t>
      </w:r>
      <w:r w:rsidR="00316E4A" w:rsidRPr="003B623D">
        <w:rPr>
          <w:color w:val="000000"/>
          <w:cs/>
        </w:rPr>
        <w:t>‎</w:t>
      </w:r>
      <w:r w:rsidR="00316E4A" w:rsidRPr="003B623D">
        <w:rPr>
          <w:rFonts w:hint="cs"/>
          <w:color w:val="000000"/>
          <w:rtl/>
        </w:rPr>
        <w:t>رسد در این مرحله هر انسانی در وجود خود احساساتی می</w:t>
      </w:r>
      <w:r w:rsidR="00316E4A" w:rsidRPr="003B623D">
        <w:rPr>
          <w:color w:val="000000"/>
          <w:cs/>
        </w:rPr>
        <w:t>‎</w:t>
      </w:r>
      <w:r w:rsidR="00316E4A" w:rsidRPr="003B623D">
        <w:rPr>
          <w:rFonts w:hint="cs"/>
          <w:color w:val="000000"/>
          <w:rtl/>
        </w:rPr>
        <w:t>یابد که در دوران طفولیت اصلا مورد توجه او نبوده است</w:t>
      </w:r>
      <w:r w:rsidR="00C100F9">
        <w:rPr>
          <w:rFonts w:hint="cs"/>
          <w:color w:val="000000"/>
          <w:rtl/>
        </w:rPr>
        <w:t>؛</w:t>
      </w:r>
      <w:r w:rsidR="00316E4A" w:rsidRPr="003B623D">
        <w:rPr>
          <w:rFonts w:hint="cs"/>
          <w:color w:val="000000"/>
          <w:rtl/>
        </w:rPr>
        <w:t xml:space="preserve"> در دوران بلوغ جسم انسان به قابلیتی می</w:t>
      </w:r>
      <w:r w:rsidR="00316E4A" w:rsidRPr="003B623D">
        <w:rPr>
          <w:color w:val="000000"/>
          <w:cs/>
        </w:rPr>
        <w:t>‎</w:t>
      </w:r>
      <w:r w:rsidR="00316E4A" w:rsidRPr="003B623D">
        <w:rPr>
          <w:rFonts w:hint="cs"/>
          <w:color w:val="000000"/>
          <w:rtl/>
        </w:rPr>
        <w:t xml:space="preserve">رسد که توان تولید منی </w:t>
      </w:r>
      <w:r w:rsidR="003B623D">
        <w:rPr>
          <w:rFonts w:hint="cs"/>
          <w:color w:val="000000"/>
          <w:rtl/>
        </w:rPr>
        <w:t xml:space="preserve">و تحریکات شهوانی </w:t>
      </w:r>
      <w:r w:rsidR="00316E4A" w:rsidRPr="003B623D">
        <w:rPr>
          <w:rFonts w:hint="cs"/>
          <w:color w:val="000000"/>
          <w:rtl/>
        </w:rPr>
        <w:t xml:space="preserve">در وجود او تکوّن پیدا می‏کند </w:t>
      </w:r>
      <w:r w:rsidR="003B623D">
        <w:rPr>
          <w:rFonts w:hint="cs"/>
          <w:color w:val="000000"/>
          <w:rtl/>
        </w:rPr>
        <w:t xml:space="preserve">و </w:t>
      </w:r>
      <w:r w:rsidR="00316E4A" w:rsidRPr="003B623D">
        <w:rPr>
          <w:rFonts w:hint="cs"/>
          <w:color w:val="000000"/>
          <w:rtl/>
        </w:rPr>
        <w:t xml:space="preserve">میل به ازدواج و انس با همسر که مبدأ </w:t>
      </w:r>
      <w:r w:rsidR="003B623D">
        <w:rPr>
          <w:rFonts w:hint="cs"/>
          <w:color w:val="000000"/>
          <w:rtl/>
        </w:rPr>
        <w:t>بقای نسل بشر است به وجود می</w:t>
      </w:r>
      <w:r w:rsidR="003B623D">
        <w:rPr>
          <w:color w:val="000000"/>
          <w:cs/>
        </w:rPr>
        <w:t>‎</w:t>
      </w:r>
      <w:r w:rsidR="003B623D">
        <w:rPr>
          <w:rFonts w:hint="cs"/>
          <w:color w:val="000000"/>
          <w:rtl/>
        </w:rPr>
        <w:t>آید و از لحاظ شرعی و اجتماعی به مرتبه</w:t>
      </w:r>
      <w:r w:rsidR="003B623D">
        <w:rPr>
          <w:color w:val="000000"/>
          <w:cs/>
        </w:rPr>
        <w:t>‎</w:t>
      </w:r>
      <w:r w:rsidR="003B623D">
        <w:rPr>
          <w:rFonts w:hint="cs"/>
          <w:color w:val="000000"/>
          <w:rtl/>
        </w:rPr>
        <w:t>ای دست می‌یاید که إجا</w:t>
      </w:r>
      <w:r w:rsidR="00B07A88">
        <w:rPr>
          <w:rFonts w:hint="cs"/>
          <w:color w:val="000000"/>
          <w:rtl/>
        </w:rPr>
        <w:t>ز</w:t>
      </w:r>
      <w:r w:rsidR="003B623D">
        <w:rPr>
          <w:rFonts w:hint="cs"/>
          <w:color w:val="000000"/>
          <w:rtl/>
        </w:rPr>
        <w:t>ه</w:t>
      </w:r>
      <w:r w:rsidR="003B623D">
        <w:rPr>
          <w:color w:val="000000"/>
          <w:cs/>
        </w:rPr>
        <w:t>‎</w:t>
      </w:r>
      <w:r w:rsidR="003B623D">
        <w:rPr>
          <w:rFonts w:hint="cs"/>
          <w:color w:val="000000"/>
          <w:rtl/>
        </w:rPr>
        <w:t>ی معاشرات و معاملات مستقل را پیدا می</w:t>
      </w:r>
      <w:r w:rsidR="003B623D">
        <w:rPr>
          <w:color w:val="000000"/>
          <w:cs/>
        </w:rPr>
        <w:t>‎</w:t>
      </w:r>
      <w:r w:rsidR="003B623D">
        <w:rPr>
          <w:rFonts w:hint="cs"/>
          <w:color w:val="000000"/>
          <w:rtl/>
        </w:rPr>
        <w:t>کند و حق تصرف در اموال خود را به دست می</w:t>
      </w:r>
      <w:r w:rsidR="003B623D">
        <w:rPr>
          <w:color w:val="000000"/>
          <w:cs/>
        </w:rPr>
        <w:t>‎</w:t>
      </w:r>
      <w:r w:rsidR="003B623D">
        <w:rPr>
          <w:rFonts w:hint="cs"/>
          <w:color w:val="000000"/>
          <w:rtl/>
        </w:rPr>
        <w:t>آورد.</w:t>
      </w:r>
    </w:p>
    <w:p w:rsidR="003D3607" w:rsidRDefault="00B07A88" w:rsidP="00C100F9">
      <w:pPr>
        <w:spacing w:line="480" w:lineRule="auto"/>
        <w:rPr>
          <w:rtl/>
        </w:rPr>
      </w:pPr>
      <w:r>
        <w:rPr>
          <w:rFonts w:hint="cs"/>
          <w:rtl/>
        </w:rPr>
        <w:t xml:space="preserve">در مجموع معنای بلوغ از جهت لغوی و اصطلاحی در گفتار لغویون و کلام فقهاء بیان شد </w:t>
      </w:r>
      <w:r w:rsidR="003D3607">
        <w:rPr>
          <w:rFonts w:hint="cs"/>
          <w:rtl/>
        </w:rPr>
        <w:t>و</w:t>
      </w:r>
      <w:r w:rsidR="00600344">
        <w:rPr>
          <w:rFonts w:hint="cs"/>
          <w:rtl/>
        </w:rPr>
        <w:t xml:space="preserve"> </w:t>
      </w:r>
      <w:r w:rsidR="003D3607">
        <w:rPr>
          <w:rFonts w:hint="cs"/>
          <w:rtl/>
        </w:rPr>
        <w:t>باید</w:t>
      </w:r>
      <w:r>
        <w:rPr>
          <w:rFonts w:hint="cs"/>
          <w:rtl/>
        </w:rPr>
        <w:t xml:space="preserve"> علائم بلوغ </w:t>
      </w:r>
      <w:r w:rsidR="003D3607">
        <w:rPr>
          <w:rFonts w:hint="cs"/>
          <w:rtl/>
        </w:rPr>
        <w:t>بر اساس</w:t>
      </w:r>
      <w:r w:rsidR="00304BDE">
        <w:rPr>
          <w:rFonts w:hint="cs"/>
          <w:rtl/>
        </w:rPr>
        <w:t xml:space="preserve"> تعالیم روایات مورد بررسی قرار </w:t>
      </w:r>
      <w:r w:rsidR="003D3607">
        <w:rPr>
          <w:rFonts w:hint="cs"/>
          <w:rtl/>
        </w:rPr>
        <w:t>گیرد:</w:t>
      </w:r>
    </w:p>
    <w:p w:rsidR="003D3607" w:rsidRDefault="003D3607" w:rsidP="00C100F9">
      <w:pPr>
        <w:spacing w:line="480" w:lineRule="auto"/>
        <w:rPr>
          <w:rtl/>
        </w:rPr>
      </w:pPr>
      <w:r w:rsidRPr="003D3607">
        <w:rPr>
          <w:rFonts w:hint="cs"/>
          <w:color w:val="FF0000"/>
          <w:rtl/>
        </w:rPr>
        <w:lastRenderedPageBreak/>
        <w:t xml:space="preserve">علائم بلوغ: </w:t>
      </w:r>
      <w:r>
        <w:rPr>
          <w:rFonts w:hint="cs"/>
          <w:rtl/>
        </w:rPr>
        <w:t>این بحث به جهت اهم</w:t>
      </w:r>
      <w:r w:rsidR="00152992">
        <w:rPr>
          <w:rFonts w:hint="cs"/>
          <w:rtl/>
        </w:rPr>
        <w:t>ی</w:t>
      </w:r>
      <w:r>
        <w:rPr>
          <w:rFonts w:hint="cs"/>
          <w:rtl/>
        </w:rPr>
        <w:t>تی که دارد هم در فتاوای بزرگان مورد توجه قرار گرفته و هم مستندات روایی فراوانی قابل دست‌رسی است.</w:t>
      </w:r>
    </w:p>
    <w:p w:rsidR="003D3607" w:rsidRPr="00152992" w:rsidRDefault="003D3607" w:rsidP="00C100F9">
      <w:pPr>
        <w:spacing w:line="480" w:lineRule="auto"/>
        <w:rPr>
          <w:color w:val="000080"/>
          <w:rtl/>
        </w:rPr>
      </w:pPr>
      <w:r w:rsidRPr="00152992">
        <w:rPr>
          <w:rFonts w:hint="cs"/>
          <w:color w:val="FF0000"/>
          <w:rtl/>
        </w:rPr>
        <w:t xml:space="preserve">کلام مرحوم شیخ طوسی: </w:t>
      </w:r>
      <w:r w:rsidR="00152992">
        <w:rPr>
          <w:rFonts w:hint="cs"/>
          <w:rtl/>
        </w:rPr>
        <w:t>«</w:t>
      </w:r>
      <w:r w:rsidRPr="00152992">
        <w:rPr>
          <w:color w:val="000080"/>
          <w:rtl/>
        </w:rPr>
        <w:t xml:space="preserve">يراعى في حد البلوغ في الذكور، بالسن خمس عشرة سنة. و به قال الشافعي. و في الإناث تسع سنين. و قال الشافعي: </w:t>
      </w:r>
      <w:r w:rsidR="00152992">
        <w:rPr>
          <w:rFonts w:hint="cs"/>
          <w:color w:val="000080"/>
          <w:rtl/>
        </w:rPr>
        <w:t>«</w:t>
      </w:r>
      <w:r w:rsidRPr="00152992">
        <w:rPr>
          <w:color w:val="000080"/>
          <w:rtl/>
        </w:rPr>
        <w:t>خمس عشرة سنة مثل الذكور.</w:t>
      </w:r>
      <w:r w:rsidR="00152992">
        <w:rPr>
          <w:rFonts w:hint="cs"/>
          <w:color w:val="000080"/>
          <w:rtl/>
        </w:rPr>
        <w:t>»</w:t>
      </w:r>
      <w:r w:rsidRPr="00152992">
        <w:rPr>
          <w:color w:val="000080"/>
          <w:rtl/>
        </w:rPr>
        <w:t xml:space="preserve"> و قال أبو حنيفة: </w:t>
      </w:r>
      <w:r w:rsidR="00152992">
        <w:rPr>
          <w:rFonts w:hint="cs"/>
          <w:color w:val="000080"/>
          <w:rtl/>
        </w:rPr>
        <w:t>«</w:t>
      </w:r>
      <w:r w:rsidRPr="00152992">
        <w:rPr>
          <w:color w:val="000080"/>
          <w:rtl/>
        </w:rPr>
        <w:t xml:space="preserve">الأنثى تبلغ باستكمال سبع عشرة سنة. و في الذكور عنه روايتان. </w:t>
      </w:r>
    </w:p>
    <w:p w:rsidR="00B07A88" w:rsidRDefault="003D3607" w:rsidP="00C100F9">
      <w:pPr>
        <w:spacing w:line="480" w:lineRule="auto"/>
        <w:rPr>
          <w:rtl/>
        </w:rPr>
      </w:pPr>
      <w:r w:rsidRPr="00152992">
        <w:rPr>
          <w:color w:val="000080"/>
          <w:rtl/>
        </w:rPr>
        <w:t>إحداهما: يبلغ باستكمال تسع عشرة سنة، و هي رواية الأصل. و الأخرى: ثمان عشرة سنة، و هي رواية الحسن بن زياد اللؤلؤي.</w:t>
      </w:r>
      <w:r w:rsidR="00152992">
        <w:rPr>
          <w:rFonts w:hint="cs"/>
          <w:color w:val="000080"/>
          <w:rtl/>
        </w:rPr>
        <w:t>»</w:t>
      </w:r>
      <w:r w:rsidRPr="00152992">
        <w:rPr>
          <w:rFonts w:hint="cs"/>
          <w:color w:val="000080"/>
          <w:rtl/>
        </w:rPr>
        <w:t xml:space="preserve"> </w:t>
      </w:r>
      <w:r w:rsidRPr="00152992">
        <w:rPr>
          <w:color w:val="000080"/>
          <w:rtl/>
        </w:rPr>
        <w:t xml:space="preserve">و حكي عن مالك أنه قال: </w:t>
      </w:r>
      <w:r w:rsidR="00152992">
        <w:rPr>
          <w:rFonts w:hint="cs"/>
          <w:color w:val="000080"/>
          <w:rtl/>
        </w:rPr>
        <w:t>«</w:t>
      </w:r>
      <w:r w:rsidRPr="00152992">
        <w:rPr>
          <w:color w:val="000080"/>
          <w:rtl/>
        </w:rPr>
        <w:t>البلوغ: بان يغلظ الصوت، و أن ينشق الغضروف- و هو رأس الأنف-، و أما السن فلا يتعلق به البلو</w:t>
      </w:r>
      <w:r w:rsidRPr="00152992">
        <w:rPr>
          <w:rFonts w:hint="cs"/>
          <w:color w:val="000080"/>
          <w:rtl/>
        </w:rPr>
        <w:t>غ</w:t>
      </w:r>
      <w:r w:rsidRPr="00152992">
        <w:rPr>
          <w:color w:val="000080"/>
          <w:rtl/>
        </w:rPr>
        <w:t>.</w:t>
      </w:r>
      <w:r w:rsidR="00152992">
        <w:rPr>
          <w:rFonts w:hint="cs"/>
          <w:color w:val="000080"/>
          <w:rtl/>
        </w:rPr>
        <w:t>»</w:t>
      </w:r>
      <w:r w:rsidRPr="00152992">
        <w:rPr>
          <w:color w:val="000080"/>
          <w:rtl/>
        </w:rPr>
        <w:t xml:space="preserve"> و قال داود: </w:t>
      </w:r>
      <w:r w:rsidR="00152992">
        <w:rPr>
          <w:rFonts w:hint="cs"/>
          <w:color w:val="000080"/>
          <w:rtl/>
        </w:rPr>
        <w:t>«</w:t>
      </w:r>
      <w:r w:rsidRPr="00152992">
        <w:rPr>
          <w:color w:val="000080"/>
          <w:rtl/>
        </w:rPr>
        <w:t>لا يحكم بالبلوغ بالسن.</w:t>
      </w:r>
      <w:r w:rsidR="00152992">
        <w:rPr>
          <w:rFonts w:hint="cs"/>
          <w:color w:val="000080"/>
          <w:rtl/>
        </w:rPr>
        <w:t>»</w:t>
      </w:r>
      <w:r w:rsidR="00152992" w:rsidRPr="00152992">
        <w:rPr>
          <w:color w:val="000080"/>
          <w:rtl/>
        </w:rPr>
        <w:t xml:space="preserve"> </w:t>
      </w:r>
      <w:r w:rsidRPr="00152992">
        <w:rPr>
          <w:color w:val="000080"/>
          <w:rtl/>
        </w:rPr>
        <w:t>دليلنا: إجماع الفرقة، و أخبارهم قد أوردناها في الكتاب الكبير</w:t>
      </w:r>
      <w:r w:rsidR="00152992" w:rsidRPr="00152992">
        <w:rPr>
          <w:rFonts w:hint="cs"/>
          <w:color w:val="000080"/>
          <w:rtl/>
        </w:rPr>
        <w:t>.</w:t>
      </w:r>
      <w:r w:rsidR="00152992">
        <w:rPr>
          <w:rFonts w:hint="cs"/>
          <w:rtl/>
        </w:rPr>
        <w:t>»</w:t>
      </w:r>
      <w:r w:rsidR="00152992">
        <w:rPr>
          <w:rStyle w:val="FootnoteReference"/>
          <w:rtl/>
        </w:rPr>
        <w:footnoteReference w:id="12"/>
      </w:r>
    </w:p>
    <w:p w:rsidR="00152992" w:rsidRDefault="00152992" w:rsidP="00C100F9">
      <w:pPr>
        <w:spacing w:line="480" w:lineRule="auto"/>
        <w:rPr>
          <w:rtl/>
        </w:rPr>
      </w:pPr>
      <w:r w:rsidRPr="00063513">
        <w:rPr>
          <w:rFonts w:hint="cs"/>
          <w:highlight w:val="yellow"/>
          <w:rtl/>
        </w:rPr>
        <w:t xml:space="preserve">بیان استاد: </w:t>
      </w:r>
      <w:r>
        <w:rPr>
          <w:rFonts w:hint="cs"/>
          <w:rtl/>
        </w:rPr>
        <w:t xml:space="preserve">فتوای مرحوم شیخ طوسی در کتاب «الخلاف» برای بیان </w:t>
      </w:r>
      <w:r w:rsidR="00063513">
        <w:rPr>
          <w:rFonts w:hint="cs"/>
          <w:rtl/>
        </w:rPr>
        <w:t>معیار</w:t>
      </w:r>
      <w:r>
        <w:rPr>
          <w:rFonts w:hint="cs"/>
          <w:rtl/>
        </w:rPr>
        <w:t xml:space="preserve"> س</w:t>
      </w:r>
      <w:r w:rsidR="00063513">
        <w:rPr>
          <w:rFonts w:hint="cs"/>
          <w:rtl/>
        </w:rPr>
        <w:t>ِ</w:t>
      </w:r>
      <w:r>
        <w:rPr>
          <w:rFonts w:hint="cs"/>
          <w:rtl/>
        </w:rPr>
        <w:t>ن</w:t>
      </w:r>
      <w:r w:rsidR="00063513">
        <w:rPr>
          <w:rFonts w:hint="cs"/>
          <w:rtl/>
        </w:rPr>
        <w:t>ّ</w:t>
      </w:r>
      <w:r>
        <w:rPr>
          <w:rFonts w:hint="cs"/>
          <w:rtl/>
        </w:rPr>
        <w:t>ی</w:t>
      </w:r>
      <w:r w:rsidR="00304BDE">
        <w:rPr>
          <w:rFonts w:hint="cs"/>
          <w:rtl/>
        </w:rPr>
        <w:t xml:space="preserve"> بلوغ برای پسران پانزده سال و برای دختران نه سال</w:t>
      </w:r>
      <w:r>
        <w:rPr>
          <w:rFonts w:hint="cs"/>
          <w:rtl/>
        </w:rPr>
        <w:t xml:space="preserve"> می</w:t>
      </w:r>
      <w:r>
        <w:rPr>
          <w:cs/>
        </w:rPr>
        <w:t>‎</w:t>
      </w:r>
      <w:r>
        <w:rPr>
          <w:rFonts w:hint="cs"/>
          <w:rtl/>
        </w:rPr>
        <w:t>باشد البته ایشان اقوال سایر فقهاء اهل سنت را نیز مطرح نموده</w:t>
      </w:r>
      <w:r>
        <w:rPr>
          <w:cs/>
        </w:rPr>
        <w:t>‎</w:t>
      </w:r>
      <w:r>
        <w:rPr>
          <w:rFonts w:hint="cs"/>
          <w:rtl/>
        </w:rPr>
        <w:t>اند که برخی از آنها اصل</w:t>
      </w:r>
      <w:r w:rsidR="00600344">
        <w:rPr>
          <w:rFonts w:hint="cs"/>
          <w:rtl/>
        </w:rPr>
        <w:t>ِ</w:t>
      </w:r>
      <w:r>
        <w:rPr>
          <w:rFonts w:hint="cs"/>
          <w:rtl/>
        </w:rPr>
        <w:t xml:space="preserve"> محدوده</w:t>
      </w:r>
      <w:r>
        <w:rPr>
          <w:cs/>
        </w:rPr>
        <w:t>‎</w:t>
      </w:r>
      <w:r>
        <w:rPr>
          <w:rFonts w:hint="cs"/>
          <w:rtl/>
        </w:rPr>
        <w:t>ی سنّی را به عنوان معیار نپذیرفته</w:t>
      </w:r>
      <w:r>
        <w:rPr>
          <w:cs/>
        </w:rPr>
        <w:t>‎</w:t>
      </w:r>
      <w:r>
        <w:rPr>
          <w:rFonts w:hint="cs"/>
          <w:rtl/>
        </w:rPr>
        <w:t>اند و تنها به علائم جسمی بسنده کرده</w:t>
      </w:r>
      <w:r>
        <w:rPr>
          <w:cs/>
        </w:rPr>
        <w:t>‎</w:t>
      </w:r>
      <w:r>
        <w:rPr>
          <w:rFonts w:hint="cs"/>
          <w:rtl/>
        </w:rPr>
        <w:t xml:space="preserve">اند و برخی </w:t>
      </w:r>
      <w:r w:rsidR="00063513">
        <w:rPr>
          <w:rFonts w:hint="cs"/>
          <w:rtl/>
        </w:rPr>
        <w:t>سنین دیگری را به عنوان معیار تحقق بلوغ در دختران و پسران معرفی نموده‌اند و در نهایت مرحوم شیخ</w:t>
      </w:r>
      <w:r w:rsidR="00304BDE">
        <w:rPr>
          <w:rFonts w:hint="cs"/>
          <w:rtl/>
        </w:rPr>
        <w:t>،</w:t>
      </w:r>
      <w:r w:rsidR="00063513">
        <w:rPr>
          <w:rFonts w:hint="cs"/>
          <w:rtl/>
        </w:rPr>
        <w:t xml:space="preserve"> دلیل خود برای این فتوا را اجماع فقهاء و اخبار وارد شده در منابع فقهی شیعه معرفی نموده</w:t>
      </w:r>
      <w:r w:rsidR="00063513">
        <w:rPr>
          <w:cs/>
        </w:rPr>
        <w:t>‎</w:t>
      </w:r>
      <w:r w:rsidR="00063513">
        <w:rPr>
          <w:rFonts w:hint="cs"/>
          <w:rtl/>
        </w:rPr>
        <w:t>اند</w:t>
      </w:r>
      <w:r w:rsidR="00976921">
        <w:rPr>
          <w:rFonts w:hint="cs"/>
          <w:rtl/>
        </w:rPr>
        <w:t xml:space="preserve"> بنا بر این نظر شیخ طوسی این است که پسران در سن پانزده سال و دختران در سن نه سال قمری به سن بلوغ می</w:t>
      </w:r>
      <w:r w:rsidR="00976921">
        <w:rPr>
          <w:cs/>
        </w:rPr>
        <w:t>‎</w:t>
      </w:r>
      <w:r w:rsidR="00976921">
        <w:rPr>
          <w:rFonts w:hint="cs"/>
          <w:rtl/>
        </w:rPr>
        <w:t>رسند و دلیل ایشان این است که تمام علمای شیعه بالإتفاق در این مسئله توافق دارند.</w:t>
      </w:r>
    </w:p>
    <w:p w:rsidR="00976921" w:rsidRDefault="00976921" w:rsidP="00C100F9">
      <w:pPr>
        <w:spacing w:line="480" w:lineRule="auto"/>
        <w:rPr>
          <w:rtl/>
        </w:rPr>
      </w:pPr>
      <w:r w:rsidRPr="001D2073">
        <w:rPr>
          <w:rFonts w:hint="cs"/>
          <w:color w:val="FF0000"/>
          <w:rtl/>
        </w:rPr>
        <w:t>کلام مرحوم علامه در مختلف:</w:t>
      </w:r>
      <w:r>
        <w:rPr>
          <w:rFonts w:hint="cs"/>
          <w:rtl/>
        </w:rPr>
        <w:t xml:space="preserve"> </w:t>
      </w:r>
      <w:r w:rsidR="001D2073">
        <w:rPr>
          <w:rFonts w:hint="cs"/>
          <w:rtl/>
        </w:rPr>
        <w:t>«</w:t>
      </w:r>
      <w:r w:rsidRPr="001D2073">
        <w:rPr>
          <w:color w:val="000080"/>
          <w:rtl/>
        </w:rPr>
        <w:t>المشهور أنّ حدّ بلوغ الصبي خمس عشرة سنة.</w:t>
      </w:r>
      <w:r w:rsidR="001D2073">
        <w:rPr>
          <w:rFonts w:hint="cs"/>
          <w:rtl/>
        </w:rPr>
        <w:t>»</w:t>
      </w:r>
      <w:r w:rsidR="001D2073">
        <w:rPr>
          <w:rStyle w:val="FootnoteReference"/>
          <w:rtl/>
        </w:rPr>
        <w:footnoteReference w:id="13"/>
      </w:r>
      <w:r w:rsidR="001D2073">
        <w:rPr>
          <w:rFonts w:hint="cs"/>
          <w:rtl/>
        </w:rPr>
        <w:t xml:space="preserve"> «</w:t>
      </w:r>
      <w:r w:rsidR="001D2073" w:rsidRPr="001D2073">
        <w:rPr>
          <w:color w:val="000080"/>
          <w:rtl/>
        </w:rPr>
        <w:t>الحكم ببلوغ المرأة لتسع سنين، و هو المشهور، و قد روي عشر سنين، لكنّ الأشهر ما قاله.</w:t>
      </w:r>
      <w:r w:rsidR="001D2073">
        <w:rPr>
          <w:rFonts w:hint="cs"/>
          <w:rtl/>
        </w:rPr>
        <w:t>»</w:t>
      </w:r>
      <w:r w:rsidR="001D2073">
        <w:rPr>
          <w:rStyle w:val="FootnoteReference"/>
        </w:rPr>
        <w:footnoteReference w:id="14"/>
      </w:r>
    </w:p>
    <w:p w:rsidR="001D2073" w:rsidRDefault="001D2073" w:rsidP="00C100F9">
      <w:pPr>
        <w:spacing w:line="480" w:lineRule="auto"/>
        <w:rPr>
          <w:rtl/>
        </w:rPr>
      </w:pPr>
      <w:r w:rsidRPr="001D2073">
        <w:rPr>
          <w:rFonts w:hint="cs"/>
          <w:highlight w:val="yellow"/>
          <w:rtl/>
        </w:rPr>
        <w:lastRenderedPageBreak/>
        <w:t xml:space="preserve">بیان استاد: </w:t>
      </w:r>
      <w:r>
        <w:rPr>
          <w:rFonts w:hint="cs"/>
          <w:rtl/>
        </w:rPr>
        <w:t xml:space="preserve">مرحوم علامه حلی نیز مانند سایر فقهای شیعه سن بلوغ برای پسران را پانزده سال </w:t>
      </w:r>
      <w:r w:rsidR="00304BDE">
        <w:rPr>
          <w:rFonts w:hint="cs"/>
          <w:rtl/>
        </w:rPr>
        <w:t xml:space="preserve">تمام </w:t>
      </w:r>
      <w:r>
        <w:rPr>
          <w:rFonts w:hint="cs"/>
          <w:rtl/>
        </w:rPr>
        <w:t>و برای دختران نه سال</w:t>
      </w:r>
      <w:r w:rsidR="00304BDE">
        <w:rPr>
          <w:rFonts w:hint="cs"/>
          <w:rtl/>
        </w:rPr>
        <w:t xml:space="preserve"> تمام</w:t>
      </w:r>
      <w:r>
        <w:rPr>
          <w:rFonts w:hint="cs"/>
          <w:rtl/>
        </w:rPr>
        <w:t xml:space="preserve"> بیان می‌فرمایند البته ایشان قولی را مطرح می</w:t>
      </w:r>
      <w:r>
        <w:rPr>
          <w:cs/>
        </w:rPr>
        <w:t>‎</w:t>
      </w:r>
      <w:r>
        <w:rPr>
          <w:rFonts w:hint="cs"/>
          <w:rtl/>
        </w:rPr>
        <w:t xml:space="preserve">کنند که سن بلوغ دختران را ده سال می‌داند ولی در توضیح این قول می‌فرمایند </w:t>
      </w:r>
      <w:r w:rsidR="00917F9B">
        <w:rPr>
          <w:rFonts w:hint="cs"/>
          <w:rtl/>
        </w:rPr>
        <w:t>همان قول نه سال برای دختران اشهر اقوال است.</w:t>
      </w:r>
    </w:p>
    <w:p w:rsidR="00917F9B" w:rsidRDefault="00917F9B" w:rsidP="00C100F9">
      <w:pPr>
        <w:spacing w:line="480" w:lineRule="auto"/>
        <w:rPr>
          <w:rtl/>
        </w:rPr>
      </w:pPr>
      <w:r>
        <w:rPr>
          <w:rFonts w:hint="cs"/>
          <w:rtl/>
        </w:rPr>
        <w:t xml:space="preserve">مرحوم شیخ در «الخلاف» در اثبات فتوای خود مبنی بر معیار پانزده سال تمام برای سن تکلیف پسران </w:t>
      </w:r>
      <w:r w:rsidR="0073529F">
        <w:rPr>
          <w:rFonts w:hint="cs"/>
          <w:rtl/>
        </w:rPr>
        <w:t>به چند روایت استناد می‏کند:</w:t>
      </w:r>
    </w:p>
    <w:p w:rsidR="0073529F" w:rsidRDefault="0073529F" w:rsidP="00C100F9">
      <w:pPr>
        <w:spacing w:line="480" w:lineRule="auto"/>
        <w:rPr>
          <w:rtl/>
        </w:rPr>
      </w:pPr>
      <w:r w:rsidRPr="0073529F">
        <w:rPr>
          <w:rFonts w:hint="cs"/>
          <w:color w:val="FF0000"/>
          <w:rtl/>
        </w:rPr>
        <w:t xml:space="preserve">روایت اول: </w:t>
      </w:r>
      <w:r>
        <w:rPr>
          <w:rFonts w:hint="cs"/>
          <w:rtl/>
        </w:rPr>
        <w:t>«</w:t>
      </w:r>
      <w:r w:rsidRPr="0073529F">
        <w:rPr>
          <w:color w:val="000080"/>
          <w:rtl/>
        </w:rPr>
        <w:t>روى أنس بن مالك أن النبي (صلى الله عليه و آله) قال</w:t>
      </w:r>
      <w:r w:rsidRPr="0073529F">
        <w:rPr>
          <w:rtl/>
        </w:rPr>
        <w:t>: «</w:t>
      </w:r>
      <w:r w:rsidRPr="0073529F">
        <w:rPr>
          <w:color w:val="008000"/>
          <w:rtl/>
        </w:rPr>
        <w:t>إذا استكمل المولود خمس عشرة سنة كتب ماله، و ما عليه، و أخذت منه الحدود</w:t>
      </w:r>
      <w:r>
        <w:rPr>
          <w:rFonts w:hint="cs"/>
          <w:rtl/>
        </w:rPr>
        <w:t>.»</w:t>
      </w:r>
      <w:r>
        <w:rPr>
          <w:rStyle w:val="FootnoteReference"/>
        </w:rPr>
        <w:footnoteReference w:id="15"/>
      </w:r>
    </w:p>
    <w:p w:rsidR="0073529F" w:rsidRDefault="0073529F" w:rsidP="00C100F9">
      <w:pPr>
        <w:spacing w:line="480" w:lineRule="auto"/>
        <w:rPr>
          <w:rtl/>
        </w:rPr>
      </w:pPr>
      <w:r w:rsidRPr="0073529F">
        <w:rPr>
          <w:rFonts w:hint="cs"/>
          <w:highlight w:val="yellow"/>
          <w:rtl/>
        </w:rPr>
        <w:t xml:space="preserve">بیان استاد: </w:t>
      </w:r>
      <w:r>
        <w:rPr>
          <w:rFonts w:hint="cs"/>
          <w:rtl/>
        </w:rPr>
        <w:t>این روایت به نقلِ انس ابن مالک از رسول گرامی اسلام نقل شده است؛ در این روایت حضرت به صراحت سن تکلیف برای پسران را پانزده سال تمام بیان می</w:t>
      </w:r>
      <w:r>
        <w:rPr>
          <w:cs/>
        </w:rPr>
        <w:t>‎</w:t>
      </w:r>
      <w:r>
        <w:rPr>
          <w:rFonts w:hint="cs"/>
          <w:rtl/>
        </w:rPr>
        <w:t>فرمایند زیرا کلمه</w:t>
      </w:r>
      <w:r>
        <w:rPr>
          <w:cs/>
        </w:rPr>
        <w:t>‎</w:t>
      </w:r>
      <w:r>
        <w:rPr>
          <w:rFonts w:hint="cs"/>
          <w:rtl/>
        </w:rPr>
        <w:t xml:space="preserve">ی «استکمل» </w:t>
      </w:r>
      <w:r w:rsidR="001810EB">
        <w:rPr>
          <w:rFonts w:hint="cs"/>
          <w:rtl/>
        </w:rPr>
        <w:t>را استعمال</w:t>
      </w:r>
      <w:r>
        <w:rPr>
          <w:rFonts w:hint="cs"/>
          <w:rtl/>
        </w:rPr>
        <w:t xml:space="preserve"> نموده</w:t>
      </w:r>
      <w:r>
        <w:rPr>
          <w:cs/>
        </w:rPr>
        <w:t>‎</w:t>
      </w:r>
      <w:r>
        <w:rPr>
          <w:rFonts w:hint="cs"/>
          <w:rtl/>
        </w:rPr>
        <w:t xml:space="preserve">اند یعنی کامل شدن سن پانزده سال، </w:t>
      </w:r>
      <w:r w:rsidR="001810EB">
        <w:rPr>
          <w:rFonts w:hint="cs"/>
          <w:rtl/>
        </w:rPr>
        <w:t>عبارت: «</w:t>
      </w:r>
      <w:r w:rsidR="001810EB" w:rsidRPr="001810EB">
        <w:rPr>
          <w:rFonts w:hint="cs"/>
          <w:color w:val="008000"/>
          <w:rtl/>
        </w:rPr>
        <w:t>کُتِبَ ما لَه و ما علیه</w:t>
      </w:r>
      <w:r w:rsidR="001810EB">
        <w:rPr>
          <w:rFonts w:hint="cs"/>
          <w:rtl/>
        </w:rPr>
        <w:t>» یعنی آنچه به نفع انسان باشد و آنچه بر علیه انسان باشد در این سن نوشته می</w:t>
      </w:r>
      <w:r w:rsidR="001810EB">
        <w:rPr>
          <w:cs/>
        </w:rPr>
        <w:t>‎</w:t>
      </w:r>
      <w:r w:rsidR="001810EB">
        <w:rPr>
          <w:rFonts w:hint="cs"/>
          <w:rtl/>
        </w:rPr>
        <w:t>شود، در این سن است که انسان مکلف به امور عبادی می</w:t>
      </w:r>
      <w:r w:rsidR="001810EB">
        <w:rPr>
          <w:cs/>
        </w:rPr>
        <w:t>‎</w:t>
      </w:r>
      <w:r w:rsidR="001810EB">
        <w:rPr>
          <w:rFonts w:hint="cs"/>
          <w:rtl/>
        </w:rPr>
        <w:t>شود و موظف است که وجوهات شرعی را پرداخت نماید و همچنین در این سن است که برخی محدودیت</w:t>
      </w:r>
      <w:r w:rsidR="001810EB">
        <w:rPr>
          <w:cs/>
        </w:rPr>
        <w:t>‎</w:t>
      </w:r>
      <w:r w:rsidR="001810EB">
        <w:rPr>
          <w:rFonts w:hint="cs"/>
          <w:rtl/>
        </w:rPr>
        <w:t>ها که به سبب غیر بالغ بودن برای او وجود داشت تمام این محدودیت</w:t>
      </w:r>
      <w:r w:rsidR="001810EB">
        <w:rPr>
          <w:cs/>
        </w:rPr>
        <w:t>‎</w:t>
      </w:r>
      <w:r w:rsidR="001810EB">
        <w:rPr>
          <w:rFonts w:hint="cs"/>
          <w:rtl/>
        </w:rPr>
        <w:t>ها بر طرف می</w:t>
      </w:r>
      <w:r w:rsidR="001810EB">
        <w:rPr>
          <w:cs/>
        </w:rPr>
        <w:t>‎</w:t>
      </w:r>
      <w:r w:rsidR="001810EB">
        <w:rPr>
          <w:rFonts w:hint="cs"/>
          <w:rtl/>
        </w:rPr>
        <w:t>شود و به چشم یک انسان کامل و دارای اختیار به او توجه می</w:t>
      </w:r>
      <w:r w:rsidR="001810EB">
        <w:rPr>
          <w:cs/>
        </w:rPr>
        <w:t>‎</w:t>
      </w:r>
      <w:r w:rsidR="001810EB">
        <w:rPr>
          <w:rFonts w:hint="cs"/>
          <w:rtl/>
        </w:rPr>
        <w:t>شود و از طرفی: «</w:t>
      </w:r>
      <w:r w:rsidR="001810EB" w:rsidRPr="001810EB">
        <w:rPr>
          <w:rFonts w:hint="cs"/>
          <w:color w:val="008000"/>
          <w:rtl/>
        </w:rPr>
        <w:t>و أُخِذَت منه الحدود.</w:t>
      </w:r>
      <w:r w:rsidR="001810EB">
        <w:rPr>
          <w:rFonts w:hint="cs"/>
          <w:rtl/>
        </w:rPr>
        <w:t>» یعنی در این سن است که اگر جرمی مرتکب شود که مستحق اجرای حد الهی باشد آن حد بر او جاری می</w:t>
      </w:r>
      <w:r w:rsidR="001810EB">
        <w:rPr>
          <w:cs/>
        </w:rPr>
        <w:t>‎</w:t>
      </w:r>
      <w:r w:rsidR="001810EB">
        <w:rPr>
          <w:rFonts w:hint="cs"/>
          <w:rtl/>
        </w:rPr>
        <w:t>شود و از او گذشت نمی</w:t>
      </w:r>
      <w:r w:rsidR="001810EB">
        <w:rPr>
          <w:cs/>
        </w:rPr>
        <w:t>‎</w:t>
      </w:r>
      <w:r w:rsidR="001810EB">
        <w:rPr>
          <w:rFonts w:hint="cs"/>
          <w:rtl/>
        </w:rPr>
        <w:t>شود.</w:t>
      </w:r>
    </w:p>
    <w:p w:rsidR="009A18C6" w:rsidRDefault="009A18C6" w:rsidP="00C100F9">
      <w:pPr>
        <w:spacing w:line="480" w:lineRule="auto"/>
        <w:rPr>
          <w:rtl/>
        </w:rPr>
      </w:pPr>
      <w:r w:rsidRPr="00453917">
        <w:rPr>
          <w:rFonts w:hint="cs"/>
          <w:color w:val="FF0000"/>
          <w:rtl/>
        </w:rPr>
        <w:lastRenderedPageBreak/>
        <w:t>ر</w:t>
      </w:r>
      <w:r w:rsidR="00453917" w:rsidRPr="00453917">
        <w:rPr>
          <w:rFonts w:hint="cs"/>
          <w:color w:val="FF0000"/>
          <w:rtl/>
        </w:rPr>
        <w:t>و</w:t>
      </w:r>
      <w:r w:rsidRPr="00453917">
        <w:rPr>
          <w:rFonts w:hint="cs"/>
          <w:color w:val="FF0000"/>
          <w:rtl/>
        </w:rPr>
        <w:t xml:space="preserve">ایت دوم: </w:t>
      </w:r>
      <w:r>
        <w:rPr>
          <w:rFonts w:hint="cs"/>
          <w:rtl/>
        </w:rPr>
        <w:t>«</w:t>
      </w:r>
      <w:r w:rsidRPr="00453917">
        <w:rPr>
          <w:color w:val="000080"/>
          <w:rtl/>
        </w:rPr>
        <w:t>و روى عبد اللّه بن عمر أنه قال: عرضت على رسول اللّه (صلى الله عليه و آله) عام بدر و أنا ابن ثلاث عشرة سنة فردني، و لم يرني بلغت، و عرضت عام أحد و أنا ابن أربع عشرة سنة فردني، و لم يرني بلغت، و عرضت عام الخندق و أنا ابن خمس عشرة سنة، فأجازني في المقاتلة. فنقل الحكم و هو الرد و الإجازة، و سببه و هو السن.</w:t>
      </w:r>
      <w:r>
        <w:rPr>
          <w:rFonts w:hint="cs"/>
          <w:rtl/>
        </w:rPr>
        <w:t>»</w:t>
      </w:r>
      <w:r w:rsidR="00453917">
        <w:rPr>
          <w:rStyle w:val="FootnoteReference"/>
          <w:rtl/>
        </w:rPr>
        <w:footnoteReference w:id="16"/>
      </w:r>
    </w:p>
    <w:p w:rsidR="004F0D24" w:rsidRDefault="00453917" w:rsidP="00C100F9">
      <w:pPr>
        <w:spacing w:line="480" w:lineRule="auto"/>
        <w:rPr>
          <w:rtl/>
        </w:rPr>
      </w:pPr>
      <w:r w:rsidRPr="00A75F04">
        <w:rPr>
          <w:rFonts w:hint="cs"/>
          <w:highlight w:val="yellow"/>
          <w:rtl/>
        </w:rPr>
        <w:t xml:space="preserve">بیان استاد: </w:t>
      </w:r>
      <w:r w:rsidR="00A75F04">
        <w:rPr>
          <w:rFonts w:hint="cs"/>
          <w:rtl/>
        </w:rPr>
        <w:t xml:space="preserve">در این روایت عبد الله بن عمر در سه مرحله خود را برای </w:t>
      </w:r>
      <w:r w:rsidR="00A41B89">
        <w:rPr>
          <w:rFonts w:hint="cs"/>
          <w:rtl/>
        </w:rPr>
        <w:t>مقاتله با دشمنان</w:t>
      </w:r>
      <w:r w:rsidR="00A75F04">
        <w:rPr>
          <w:rFonts w:hint="cs"/>
          <w:rtl/>
        </w:rPr>
        <w:t xml:space="preserve"> بر رسول خدا(ص) عرضه می</w:t>
      </w:r>
      <w:r w:rsidR="00A75F04">
        <w:rPr>
          <w:cs/>
        </w:rPr>
        <w:t>‎‎</w:t>
      </w:r>
      <w:r w:rsidR="00A75F04">
        <w:rPr>
          <w:rFonts w:hint="cs"/>
          <w:rtl/>
        </w:rPr>
        <w:t>دارد ولی حضرت در دو مورد نخست إذن میدان نمی</w:t>
      </w:r>
      <w:r w:rsidR="00A75F04">
        <w:rPr>
          <w:cs/>
        </w:rPr>
        <w:t>‎</w:t>
      </w:r>
      <w:r w:rsidR="00A75F04">
        <w:rPr>
          <w:rFonts w:hint="cs"/>
          <w:rtl/>
        </w:rPr>
        <w:t>دهند و در مرحله سوم پس از بر طرف شدن مانع سنّی إذن میدان می‏دهند چنانچه خود عبد الله بن عمر نقل می</w:t>
      </w:r>
      <w:r w:rsidR="00A75F04">
        <w:rPr>
          <w:cs/>
        </w:rPr>
        <w:t>‎</w:t>
      </w:r>
      <w:r w:rsidR="00A75F04">
        <w:rPr>
          <w:rFonts w:hint="cs"/>
          <w:rtl/>
        </w:rPr>
        <w:t xml:space="preserve">کند: </w:t>
      </w:r>
      <w:r w:rsidR="00A41B89">
        <w:rPr>
          <w:rFonts w:hint="cs"/>
          <w:rtl/>
        </w:rPr>
        <w:t>«</w:t>
      </w:r>
      <w:r w:rsidR="00A75F04">
        <w:rPr>
          <w:rFonts w:hint="cs"/>
          <w:rtl/>
        </w:rPr>
        <w:t xml:space="preserve">زمانی که در جنگ بدر سیزده ساله بودم برای </w:t>
      </w:r>
      <w:r w:rsidR="00A41B89">
        <w:rPr>
          <w:rFonts w:hint="cs"/>
          <w:rtl/>
        </w:rPr>
        <w:t xml:space="preserve">حضور در </w:t>
      </w:r>
      <w:r w:rsidR="00A75F04">
        <w:rPr>
          <w:rFonts w:hint="cs"/>
          <w:rtl/>
        </w:rPr>
        <w:t xml:space="preserve">میدان نبرد خود را بر رسول خدا(ص) عرضه کردم ولی حضرت مرا رد نمود و إذن میدان ندادند زیرا من را بالغ نمی‌دیدند و زمانی که در جنگ أحد چهارده ساله بودم برای </w:t>
      </w:r>
      <w:r w:rsidR="00A41B89">
        <w:rPr>
          <w:rFonts w:hint="cs"/>
          <w:rtl/>
        </w:rPr>
        <w:t>حضور</w:t>
      </w:r>
      <w:r w:rsidR="00A75F04">
        <w:rPr>
          <w:rFonts w:hint="cs"/>
          <w:rtl/>
        </w:rPr>
        <w:t xml:space="preserve"> در میدان نبرد خود را بر رسول خدا(ص) عرضه کردم ولی باز هم رسول خدا(ص) إذن میدان به من ندادند و مرا رد نمودند زیرا من را در این سن </w:t>
      </w:r>
      <w:r w:rsidR="00A41B89">
        <w:rPr>
          <w:rFonts w:hint="cs"/>
          <w:rtl/>
        </w:rPr>
        <w:t xml:space="preserve">نیز </w:t>
      </w:r>
      <w:r w:rsidR="00A75F04">
        <w:rPr>
          <w:rFonts w:hint="cs"/>
          <w:rtl/>
        </w:rPr>
        <w:t>بالغ نمی</w:t>
      </w:r>
      <w:r w:rsidR="00A75F04">
        <w:rPr>
          <w:cs/>
        </w:rPr>
        <w:t>‎</w:t>
      </w:r>
      <w:r w:rsidR="00A75F04">
        <w:rPr>
          <w:rFonts w:hint="cs"/>
          <w:rtl/>
        </w:rPr>
        <w:t xml:space="preserve">دیدند ولی زمانی که در جنگ خندق پانزده ساله </w:t>
      </w:r>
      <w:r w:rsidR="00A41B89">
        <w:rPr>
          <w:rFonts w:hint="cs"/>
          <w:rtl/>
        </w:rPr>
        <w:t>شدم</w:t>
      </w:r>
      <w:r w:rsidR="00A75F04">
        <w:rPr>
          <w:rFonts w:hint="cs"/>
          <w:rtl/>
        </w:rPr>
        <w:t xml:space="preserve"> خود را برای </w:t>
      </w:r>
      <w:r w:rsidR="00A41B89">
        <w:rPr>
          <w:rFonts w:hint="cs"/>
          <w:rtl/>
        </w:rPr>
        <w:t>حضور</w:t>
      </w:r>
      <w:r w:rsidR="00A75F04">
        <w:rPr>
          <w:rFonts w:hint="cs"/>
          <w:rtl/>
        </w:rPr>
        <w:t xml:space="preserve"> در</w:t>
      </w:r>
      <w:r w:rsidR="00A41B89">
        <w:rPr>
          <w:rFonts w:hint="cs"/>
          <w:rtl/>
        </w:rPr>
        <w:t xml:space="preserve"> میدان نبرد بر رسول خدا(ص) عرضه نمودم و حضرت به من إجازه فرمودند» </w:t>
      </w:r>
      <w:r w:rsidR="004F0D24">
        <w:rPr>
          <w:rFonts w:hint="cs"/>
          <w:rtl/>
        </w:rPr>
        <w:t>مرحوم شیخ در ادامه می‌فرماید: «</w:t>
      </w:r>
      <w:r w:rsidR="00A41B89">
        <w:rPr>
          <w:rFonts w:hint="cs"/>
          <w:rtl/>
        </w:rPr>
        <w:t>بنا بر این، راوی هم حکم را نقل نمود که همان رد و إجازه بود و هم سبب این حکم را  که سن او بود</w:t>
      </w:r>
      <w:r w:rsidR="004F0D24">
        <w:rPr>
          <w:rFonts w:hint="cs"/>
          <w:rtl/>
        </w:rPr>
        <w:t>»</w:t>
      </w:r>
      <w:r w:rsidR="00A41B89">
        <w:rPr>
          <w:rFonts w:hint="cs"/>
          <w:rtl/>
        </w:rPr>
        <w:t xml:space="preserve"> در نتیجه سن بلوغ پانزده سال تمام برای پسران می‌باشد.</w:t>
      </w:r>
    </w:p>
    <w:p w:rsidR="002E6794" w:rsidRDefault="004F0D24" w:rsidP="00C100F9">
      <w:pPr>
        <w:spacing w:line="480" w:lineRule="auto"/>
        <w:rPr>
          <w:rtl/>
        </w:rPr>
      </w:pPr>
      <w:r w:rsidRPr="00A51AF3">
        <w:rPr>
          <w:rFonts w:hint="cs"/>
          <w:color w:val="FF0000"/>
          <w:rtl/>
        </w:rPr>
        <w:t xml:space="preserve">روایت سوم </w:t>
      </w:r>
      <w:r w:rsidR="00A51AF3" w:rsidRPr="00A51AF3">
        <w:rPr>
          <w:rFonts w:hint="cs"/>
          <w:color w:val="FF0000"/>
          <w:rtl/>
        </w:rPr>
        <w:t xml:space="preserve">صحیحه حمزة بن حمران: </w:t>
      </w:r>
      <w:r w:rsidR="00A51AF3">
        <w:rPr>
          <w:rFonts w:hint="cs"/>
          <w:rtl/>
        </w:rPr>
        <w:t>«</w:t>
      </w:r>
      <w:r w:rsidR="00A51AF3" w:rsidRPr="00A51AF3">
        <w:rPr>
          <w:color w:val="000000"/>
          <w:rtl/>
        </w:rPr>
        <w:t>وعن محمد بن يحيى، عن أحمد بن محمد، عن ابن محبوب، عن عبد العزيز العبدي، عن حمزة بن حمران، عن حمران قال: سألت أبا جعفر عليه‌السلام، قلت له: متى يجب على الغلام أن يؤخذ بالحدود التامة، وتقام عليه، ويؤخذ بها؟ قال:</w:t>
      </w:r>
      <w:r w:rsidR="00A51AF3" w:rsidRPr="00A51AF3">
        <w:rPr>
          <w:color w:val="008000"/>
          <w:rtl/>
        </w:rPr>
        <w:t xml:space="preserve"> إذا خرج عنه اليتم وأدرك، </w:t>
      </w:r>
      <w:r w:rsidR="00A51AF3" w:rsidRPr="00A51AF3">
        <w:rPr>
          <w:color w:val="000000"/>
          <w:rtl/>
        </w:rPr>
        <w:t>قلت: فلذلك حد يعرف به؟ فقال:</w:t>
      </w:r>
      <w:r w:rsidR="00A51AF3" w:rsidRPr="00A51AF3">
        <w:rPr>
          <w:color w:val="008000"/>
          <w:rtl/>
        </w:rPr>
        <w:t xml:space="preserve"> إذا احتلم، أو بلغ خمس عشرة سنة، أو أشعر أو أنبت قبل ذلك، أقيمت عليه الحدود التامة، وأخذ بها وأخذت له، </w:t>
      </w:r>
      <w:r w:rsidR="00A51AF3" w:rsidRPr="00A51AF3">
        <w:rPr>
          <w:color w:val="000000"/>
          <w:rtl/>
        </w:rPr>
        <w:t>قلت: فالجارية، متى تجب عليها الحدود التامة، وتؤخذ بها، ويؤخذ لها؟ قال:</w:t>
      </w:r>
      <w:r w:rsidR="00A51AF3" w:rsidRPr="00A51AF3">
        <w:rPr>
          <w:color w:val="008000"/>
          <w:rtl/>
        </w:rPr>
        <w:t xml:space="preserve"> إن الجارية ليست مثل الغلام، إن الجارية إذا تزوجت، </w:t>
      </w:r>
      <w:r w:rsidR="00A51AF3" w:rsidRPr="00A51AF3">
        <w:rPr>
          <w:color w:val="008000"/>
          <w:rtl/>
        </w:rPr>
        <w:lastRenderedPageBreak/>
        <w:t xml:space="preserve">ودخل بها ولها تسع سنين ذهب عنها اليتم، ودفع إليها مالها، وجاز أمرها في الشراء والبيع، وأقيمت عليها الحدود التامّة، وأخذ لها بها، </w:t>
      </w:r>
      <w:r w:rsidR="00A51AF3" w:rsidRPr="00A51AF3">
        <w:rPr>
          <w:color w:val="000000"/>
          <w:rtl/>
        </w:rPr>
        <w:t>قال:</w:t>
      </w:r>
      <w:r w:rsidR="00A51AF3" w:rsidRPr="00A51AF3">
        <w:rPr>
          <w:color w:val="008000"/>
          <w:rtl/>
        </w:rPr>
        <w:t xml:space="preserve"> والغلام لا يجوز أمره في الشراء والبيع، ولا يخرج من اليتم، حتى يبلغ خمس عشرة سنة، أو يحتلم أو يشعر أو ينبت قبل ذلك.</w:t>
      </w:r>
      <w:r w:rsidR="00A51AF3">
        <w:rPr>
          <w:rFonts w:hint="cs"/>
          <w:rtl/>
        </w:rPr>
        <w:t>»</w:t>
      </w:r>
      <w:r w:rsidR="00A51AF3">
        <w:rPr>
          <w:rStyle w:val="FootnoteReference"/>
          <w:rtl/>
        </w:rPr>
        <w:footnoteReference w:id="17"/>
      </w:r>
      <w:r w:rsidR="00A41B89">
        <w:rPr>
          <w:rFonts w:hint="cs"/>
          <w:rtl/>
        </w:rPr>
        <w:t xml:space="preserve"> </w:t>
      </w:r>
    </w:p>
    <w:p w:rsidR="00411753" w:rsidRDefault="00B93C98" w:rsidP="00304BDE">
      <w:pPr>
        <w:spacing w:line="480" w:lineRule="auto"/>
        <w:rPr>
          <w:rtl/>
        </w:rPr>
      </w:pPr>
      <w:r w:rsidRPr="00B93C98">
        <w:rPr>
          <w:rFonts w:hint="cs"/>
          <w:highlight w:val="yellow"/>
          <w:rtl/>
        </w:rPr>
        <w:t xml:space="preserve">بیان استاد: </w:t>
      </w:r>
      <w:r>
        <w:rPr>
          <w:rFonts w:hint="cs"/>
          <w:rtl/>
        </w:rPr>
        <w:t xml:space="preserve">راوی از امام باقر(ع) راجع به علائم بلوغ این چنین </w:t>
      </w:r>
      <w:r w:rsidRPr="00B93C98">
        <w:rPr>
          <w:rtl/>
        </w:rPr>
        <w:t>سؤال م</w:t>
      </w:r>
      <w:r w:rsidRPr="00B93C98">
        <w:rPr>
          <w:rFonts w:hint="cs"/>
          <w:rtl/>
        </w:rPr>
        <w:t>ی‌کند</w:t>
      </w:r>
      <w:r>
        <w:rPr>
          <w:rFonts w:hint="cs"/>
          <w:rtl/>
        </w:rPr>
        <w:t>: یک پسر بچه با چه علائمی به سن تکلیف می</w:t>
      </w:r>
      <w:r>
        <w:rPr>
          <w:cs/>
        </w:rPr>
        <w:t>‎</w:t>
      </w:r>
      <w:r>
        <w:rPr>
          <w:rFonts w:hint="cs"/>
          <w:rtl/>
        </w:rPr>
        <w:t>رسد به نحوی که حدود الهی در صورت ارتکاب جرم بر او جاری می</w:t>
      </w:r>
      <w:r>
        <w:rPr>
          <w:cs/>
        </w:rPr>
        <w:t>‎</w:t>
      </w:r>
      <w:r>
        <w:rPr>
          <w:rFonts w:hint="cs"/>
          <w:rtl/>
        </w:rPr>
        <w:t>شود و یا این که اگر کسی مثلا اتهامی به او بزند به نفع او حد الهی جاری می</w:t>
      </w:r>
      <w:r>
        <w:rPr>
          <w:cs/>
        </w:rPr>
        <w:t>‎</w:t>
      </w:r>
      <w:r>
        <w:rPr>
          <w:rFonts w:hint="cs"/>
          <w:rtl/>
        </w:rPr>
        <w:t xml:space="preserve">شود؟ امام(ع) در جواب می‏فرمایند: «در صورتی که دوران یتیمی او به پایان برسد و به مرحله درک برسد» راوی مجدداً از امام(ع) سؤال می‏کند: آیا برای بلوغ علامتی است که با آن شناسائی شود؟ در پاسخ به این سؤال حضرت چهار علامت برای بلوغ پسران بیان می‏فرمایند: اول این که این پسر به رشدی رسیده باشد که </w:t>
      </w:r>
      <w:r w:rsidR="00411753">
        <w:rPr>
          <w:rFonts w:hint="cs"/>
          <w:rtl/>
        </w:rPr>
        <w:t>محتلم شود یعنی انعقاد منی در بدن او تکوّن پیدا کند؛ علامت دوم این است که به سن پانزده سالگی برسد و علامت سوم رویید</w:t>
      </w:r>
      <w:r w:rsidR="00600344">
        <w:rPr>
          <w:rFonts w:hint="cs"/>
          <w:rtl/>
        </w:rPr>
        <w:t>ن</w:t>
      </w:r>
      <w:r w:rsidR="00411753">
        <w:rPr>
          <w:rFonts w:hint="cs"/>
          <w:rtl/>
        </w:rPr>
        <w:t xml:space="preserve"> ریش بر روی صورت است که در این روایت برای روییدن ریش از عبارت «أشعَرَ» استفاده شده است و علامت چهارم آن است که بر روی </w:t>
      </w:r>
      <w:r w:rsidR="00304BDE">
        <w:rPr>
          <w:rFonts w:hint="cs"/>
          <w:rtl/>
        </w:rPr>
        <w:t>عا</w:t>
      </w:r>
      <w:r w:rsidR="00411753">
        <w:rPr>
          <w:rFonts w:hint="cs"/>
          <w:rtl/>
        </w:rPr>
        <w:t xml:space="preserve">نه یعنی در اطراف آلت او موی درشت و خشن بروید که با موهای دوران طفولیت او که امکان داشت در اطراف این عضو بروید تفاوت دارد برای بیان روییدن موی درشت و خشن در اطراف </w:t>
      </w:r>
      <w:r w:rsidR="00304BDE">
        <w:rPr>
          <w:rFonts w:hint="cs"/>
          <w:rtl/>
        </w:rPr>
        <w:t>عا</w:t>
      </w:r>
      <w:r w:rsidR="00411753">
        <w:rPr>
          <w:rFonts w:hint="cs"/>
          <w:rtl/>
        </w:rPr>
        <w:t>نه از عبارت «أنبتَ» استفاده شده است.</w:t>
      </w:r>
    </w:p>
    <w:p w:rsidR="00B93C98" w:rsidRDefault="00411753" w:rsidP="00C100F9">
      <w:pPr>
        <w:spacing w:line="480" w:lineRule="auto"/>
        <w:rPr>
          <w:rtl/>
        </w:rPr>
      </w:pPr>
      <w:r>
        <w:rPr>
          <w:rFonts w:hint="cs"/>
          <w:rtl/>
        </w:rPr>
        <w:t>البته در این روایت این علائم در صورتی از علائم بلوغ به حساب می</w:t>
      </w:r>
      <w:r>
        <w:rPr>
          <w:cs/>
        </w:rPr>
        <w:t>‎</w:t>
      </w:r>
      <w:r>
        <w:rPr>
          <w:rFonts w:hint="cs"/>
          <w:rtl/>
        </w:rPr>
        <w:t>آیند که قبل از پانزده سالگی اتفاق بیافتند و إلا پس از سن پانزده سالگی قطعا دوران بلوغ فرا رسیده است و برای احراز بلوغ نیازی به تفحص از سایر علائم نیست با احراز این علائم</w:t>
      </w:r>
      <w:r w:rsidR="003B75EC">
        <w:rPr>
          <w:rFonts w:hint="cs"/>
          <w:rtl/>
        </w:rPr>
        <w:t>،</w:t>
      </w:r>
      <w:r>
        <w:rPr>
          <w:rFonts w:hint="cs"/>
          <w:rtl/>
        </w:rPr>
        <w:t xml:space="preserve"> احکام مربوط به مکل</w:t>
      </w:r>
      <w:r w:rsidR="003B75EC">
        <w:rPr>
          <w:rFonts w:hint="cs"/>
          <w:rtl/>
        </w:rPr>
        <w:t>ّ</w:t>
      </w:r>
      <w:r>
        <w:rPr>
          <w:rFonts w:hint="cs"/>
          <w:rtl/>
        </w:rPr>
        <w:t>فین از قبیل اجرای حدود الهی له و علیه او تحقق می</w:t>
      </w:r>
      <w:r>
        <w:rPr>
          <w:cs/>
        </w:rPr>
        <w:t>‎</w:t>
      </w:r>
      <w:r>
        <w:rPr>
          <w:rFonts w:hint="cs"/>
          <w:rtl/>
        </w:rPr>
        <w:t>یابد</w:t>
      </w:r>
      <w:r w:rsidR="003B75EC">
        <w:rPr>
          <w:rFonts w:hint="cs"/>
          <w:rtl/>
        </w:rPr>
        <w:t>.</w:t>
      </w:r>
    </w:p>
    <w:p w:rsidR="003B75EC" w:rsidRDefault="003B75EC" w:rsidP="00C100F9">
      <w:pPr>
        <w:spacing w:line="480" w:lineRule="auto"/>
        <w:rPr>
          <w:rtl/>
        </w:rPr>
      </w:pPr>
      <w:r>
        <w:rPr>
          <w:rFonts w:hint="cs"/>
          <w:rtl/>
        </w:rPr>
        <w:t xml:space="preserve">راوی مجدداً سؤال می‏کند از علائم بلوغ دختران به نحوی که با تحقق این علائم یک دختر در موقعیتی قرار </w:t>
      </w:r>
      <w:r w:rsidR="00600344">
        <w:rPr>
          <w:rFonts w:hint="cs"/>
          <w:rtl/>
        </w:rPr>
        <w:t>ب</w:t>
      </w:r>
      <w:r>
        <w:rPr>
          <w:rFonts w:hint="cs"/>
          <w:rtl/>
        </w:rPr>
        <w:t xml:space="preserve">گیرد که مورد خطاب حدود الهی </w:t>
      </w:r>
      <w:r w:rsidR="00600344">
        <w:rPr>
          <w:rFonts w:hint="cs"/>
          <w:rtl/>
        </w:rPr>
        <w:t>باشد</w:t>
      </w:r>
      <w:r>
        <w:rPr>
          <w:rFonts w:hint="cs"/>
          <w:rtl/>
        </w:rPr>
        <w:t xml:space="preserve"> امام(ع) در جواب دو علامت از علائم بلوغ دختران را بیان می‏فرمایند و بین علائم پسران و دختران تفاوت قائل می‏شوند؛ علامت اول </w:t>
      </w:r>
      <w:r>
        <w:rPr>
          <w:rFonts w:hint="cs"/>
          <w:rtl/>
        </w:rPr>
        <w:lastRenderedPageBreak/>
        <w:t>این است که یک دختر به رشدی برسد که توان ازدواج داشته باشد به نحوی که امکان دخول از ناحیه‏ی همسر برای او مقدور باشد و استعداد حاملگی داشته باشد و علامت دوم آن است که به سن نه سالگی برسد با تحقق یکی از این علائم دوران یتیمی یک دختر به پایان می</w:t>
      </w:r>
      <w:r>
        <w:rPr>
          <w:cs/>
        </w:rPr>
        <w:t>‎</w:t>
      </w:r>
      <w:r>
        <w:rPr>
          <w:rFonts w:hint="cs"/>
          <w:rtl/>
        </w:rPr>
        <w:t>رسد و مورد خطاب تکالیف و حدود الهی</w:t>
      </w:r>
      <w:r w:rsidR="008558F9">
        <w:rPr>
          <w:rFonts w:hint="cs"/>
          <w:rtl/>
        </w:rPr>
        <w:t xml:space="preserve"> قرار می</w:t>
      </w:r>
      <w:r w:rsidR="008558F9">
        <w:rPr>
          <w:cs/>
        </w:rPr>
        <w:t>‎</w:t>
      </w:r>
      <w:r w:rsidR="008558F9">
        <w:rPr>
          <w:rFonts w:hint="cs"/>
          <w:rtl/>
        </w:rPr>
        <w:t>گیرد و اختیار اموالش به او داده می</w:t>
      </w:r>
      <w:r w:rsidR="008558F9">
        <w:rPr>
          <w:cs/>
        </w:rPr>
        <w:t>‎</w:t>
      </w:r>
      <w:r w:rsidR="008558F9">
        <w:rPr>
          <w:rFonts w:hint="cs"/>
          <w:rtl/>
        </w:rPr>
        <w:t>شود و مستقلا می‏تواند خرید و فروش انجام دهد ولی یک پسر بچه با تحقق یکی از چهار علامت ذکر شده به چنین رشدی می‏رسد.</w:t>
      </w:r>
    </w:p>
    <w:p w:rsidR="008558F9" w:rsidRDefault="008558F9" w:rsidP="00C100F9">
      <w:pPr>
        <w:spacing w:line="480" w:lineRule="auto"/>
        <w:rPr>
          <w:rtl/>
        </w:rPr>
      </w:pPr>
      <w:r>
        <w:rPr>
          <w:rFonts w:hint="cs"/>
          <w:rtl/>
        </w:rPr>
        <w:t xml:space="preserve">البته یادآوری این نکته لازم است که در قرآن کریم تخصیصی به این قبیل روایات که علائم بلوغ را </w:t>
      </w:r>
      <w:r w:rsidR="001676A4">
        <w:rPr>
          <w:rFonts w:hint="cs"/>
          <w:rtl/>
        </w:rPr>
        <w:t>در امور فوق معرفی نموده‌اند وارد کرده است که در جلسات قبل مفصل بیان شد و آن تخصیص این است که علاوه بر تحقق معیار سنّی و علائم جسمی باید یک انسان به رشد اجتماعی و عقلی نیز رسیده باشد تا اختیار اموال و سایر امور مرتبط با یک فرد بالغ به او واگذار گردد</w:t>
      </w:r>
      <w:r w:rsidR="00AB77F4">
        <w:rPr>
          <w:rFonts w:hint="cs"/>
          <w:rtl/>
        </w:rPr>
        <w:t xml:space="preserve"> به همین جهت باید مورد ابتلاء و آزمایش قرار گیرد تا اطمینان خاطر از توانمندی او در اداره</w:t>
      </w:r>
      <w:r w:rsidR="00AB77F4">
        <w:rPr>
          <w:cs/>
        </w:rPr>
        <w:t>‎</w:t>
      </w:r>
      <w:r w:rsidR="00AB77F4">
        <w:rPr>
          <w:rFonts w:hint="cs"/>
          <w:rtl/>
        </w:rPr>
        <w:t>ی امور حاصل شود:</w:t>
      </w:r>
    </w:p>
    <w:p w:rsidR="00AB77F4" w:rsidRPr="00AB77F4" w:rsidRDefault="00AB77F4" w:rsidP="00C100F9">
      <w:pPr>
        <w:spacing w:line="480" w:lineRule="auto"/>
        <w:rPr>
          <w:color w:val="000000"/>
          <w:rtl/>
        </w:rPr>
      </w:pPr>
      <w:r>
        <w:rPr>
          <w:color w:val="007200"/>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Pr>
          <w:rStyle w:val="FootnoteReference"/>
          <w:color w:val="007200"/>
          <w:rtl/>
        </w:rPr>
        <w:footnoteReference w:id="18"/>
      </w:r>
      <w:r w:rsidRPr="00AB77F4">
        <w:rPr>
          <w:rFonts w:hint="cs"/>
          <w:color w:val="000000"/>
          <w:rtl/>
        </w:rPr>
        <w:t>«</w:t>
      </w:r>
      <w:r w:rsidRPr="00AB77F4">
        <w:rPr>
          <w:color w:val="000000"/>
          <w:rtl/>
        </w:rPr>
        <w:t>و يتيمان را چون به حدّ بلوغ برسند، بيازماييد؛ اگر در آنها رشد كافى يافتيد، اموالشان را به آنها بدهيد. و پيش از آن كه بزرگ شوند، اموالشان را عجولانه و از روى اسراف نخوريد هر كس كه بى‌نياز است، از برداشت حق‌الزحمه خوددارى كند؛ و آن كس كه نيازمند است، به طور شايسته و مطابق زحمتى كه مى‌كشد، از آن مصرف كند. و هنگامى كه اموالشان را به آنها باز مى‌گردانيد، بر آنها شاهد بگيريد؛ اگر چه خداوند براى محاسبه كافى است.</w:t>
      </w:r>
      <w:r>
        <w:rPr>
          <w:rFonts w:hint="cs"/>
          <w:color w:val="000000"/>
          <w:rtl/>
        </w:rPr>
        <w:t>»</w:t>
      </w:r>
      <w:r>
        <w:rPr>
          <w:rStyle w:val="FootnoteReference"/>
          <w:color w:val="000000"/>
          <w:rtl/>
        </w:rPr>
        <w:footnoteReference w:id="19"/>
      </w:r>
    </w:p>
    <w:p w:rsidR="00BB680E" w:rsidRDefault="00BB680E" w:rsidP="00C100F9">
      <w:pPr>
        <w:spacing w:line="480" w:lineRule="auto"/>
        <w:rPr>
          <w:rtl/>
        </w:rPr>
      </w:pPr>
      <w:r w:rsidRPr="002E6794">
        <w:rPr>
          <w:rFonts w:hint="cs"/>
          <w:color w:val="FF0000"/>
          <w:rtl/>
        </w:rPr>
        <w:lastRenderedPageBreak/>
        <w:t xml:space="preserve">روایت چهارم: </w:t>
      </w:r>
      <w:r w:rsidR="002E6794">
        <w:rPr>
          <w:rFonts w:hint="cs"/>
          <w:rtl/>
        </w:rPr>
        <w:t>«</w:t>
      </w:r>
      <w:r w:rsidR="002E6794" w:rsidRPr="002E6794">
        <w:rPr>
          <w:color w:val="000080"/>
          <w:rtl/>
        </w:rPr>
        <w:t>و أيضا ما حكم به سعد بن معاذ في بني قريظة، فإنه قال: حكمت بأن يقتل مقاتلهم، و يسبى ذراريهم، و أمر بأن يكشف عن مؤتزرهم، فمن أنبت فهو من المقاتلة، و من لم ينبت فهو من الذراري، فبلغ ذلك النبي (صلى الله عليه و آله) فقال: «</w:t>
      </w:r>
      <w:r w:rsidR="002E6794" w:rsidRPr="002E6794">
        <w:rPr>
          <w:color w:val="008000"/>
          <w:rtl/>
        </w:rPr>
        <w:t>لقد حكم سعد بحكم اللّه من فوق سبع سموات</w:t>
      </w:r>
      <w:r w:rsidR="002E6794" w:rsidRPr="002E6794">
        <w:rPr>
          <w:color w:val="000080"/>
          <w:rtl/>
        </w:rPr>
        <w:t>»</w:t>
      </w:r>
      <w:r w:rsidR="002E6794" w:rsidRPr="002E6794">
        <w:rPr>
          <w:rFonts w:hint="cs"/>
          <w:color w:val="000080"/>
          <w:rtl/>
        </w:rPr>
        <w:t xml:space="preserve"> </w:t>
      </w:r>
      <w:r w:rsidR="002E6794" w:rsidRPr="002E6794">
        <w:rPr>
          <w:color w:val="000080"/>
          <w:rtl/>
        </w:rPr>
        <w:t>و روي «سبعة أرقعة</w:t>
      </w:r>
      <w:r w:rsidR="002E6794" w:rsidRPr="002E6794">
        <w:rPr>
          <w:rtl/>
        </w:rPr>
        <w:t>»</w:t>
      </w:r>
      <w:r w:rsidR="002E6794">
        <w:rPr>
          <w:rStyle w:val="FootnoteReference"/>
        </w:rPr>
        <w:footnoteReference w:id="20"/>
      </w:r>
    </w:p>
    <w:p w:rsidR="001A1EA5" w:rsidRPr="003B623D" w:rsidRDefault="00AB77F4" w:rsidP="00C100F9">
      <w:pPr>
        <w:spacing w:line="480" w:lineRule="auto"/>
        <w:rPr>
          <w:rtl/>
        </w:rPr>
      </w:pPr>
      <w:r w:rsidRPr="00AB77F4">
        <w:rPr>
          <w:rtl/>
        </w:rPr>
        <w:t>غزوه بن</w:t>
      </w:r>
      <w:r w:rsidRPr="00AB77F4">
        <w:rPr>
          <w:rFonts w:hint="cs"/>
          <w:rtl/>
        </w:rPr>
        <w:t>ی‌قُرَیظه،</w:t>
      </w:r>
      <w:r w:rsidRPr="00AB77F4">
        <w:rPr>
          <w:rtl/>
        </w:rPr>
        <w:t xml:space="preserve"> نام آخر</w:t>
      </w:r>
      <w:r w:rsidRPr="00AB77F4">
        <w:rPr>
          <w:rFonts w:hint="cs"/>
          <w:rtl/>
        </w:rPr>
        <w:t>ین</w:t>
      </w:r>
      <w:r w:rsidRPr="00AB77F4">
        <w:rPr>
          <w:rtl/>
        </w:rPr>
        <w:t xml:space="preserve"> غزوه از غزوه‌ها</w:t>
      </w:r>
      <w:r w:rsidRPr="00AB77F4">
        <w:rPr>
          <w:rFonts w:hint="cs"/>
          <w:rtl/>
        </w:rPr>
        <w:t>ی</w:t>
      </w:r>
      <w:r w:rsidRPr="00AB77F4">
        <w:rPr>
          <w:rtl/>
        </w:rPr>
        <w:t xml:space="preserve"> پ</w:t>
      </w:r>
      <w:r w:rsidRPr="00AB77F4">
        <w:rPr>
          <w:rFonts w:hint="cs"/>
          <w:rtl/>
        </w:rPr>
        <w:t>یامبر</w:t>
      </w:r>
      <w:r w:rsidRPr="00AB77F4">
        <w:rPr>
          <w:rtl/>
        </w:rPr>
        <w:t xml:space="preserve"> اکرم(ص) با </w:t>
      </w:r>
      <w:r w:rsidRPr="00AB77F4">
        <w:rPr>
          <w:rFonts w:hint="cs"/>
          <w:rtl/>
        </w:rPr>
        <w:t>یهودیان</w:t>
      </w:r>
      <w:r w:rsidRPr="00AB77F4">
        <w:rPr>
          <w:rtl/>
        </w:rPr>
        <w:t xml:space="preserve"> مد</w:t>
      </w:r>
      <w:r w:rsidRPr="00AB77F4">
        <w:rPr>
          <w:rFonts w:hint="cs"/>
          <w:rtl/>
        </w:rPr>
        <w:t>ینه</w:t>
      </w:r>
      <w:r w:rsidRPr="00AB77F4">
        <w:rPr>
          <w:rtl/>
        </w:rPr>
        <w:t xml:space="preserve"> است که در سال پنجم هجر</w:t>
      </w:r>
      <w:r w:rsidRPr="00AB77F4">
        <w:rPr>
          <w:rFonts w:hint="cs"/>
          <w:rtl/>
        </w:rPr>
        <w:t>ی</w:t>
      </w:r>
      <w:r w:rsidRPr="00AB77F4">
        <w:rPr>
          <w:rtl/>
        </w:rPr>
        <w:t xml:space="preserve"> و به دل</w:t>
      </w:r>
      <w:r w:rsidRPr="00AB77F4">
        <w:rPr>
          <w:rFonts w:hint="cs"/>
          <w:rtl/>
        </w:rPr>
        <w:t>یل</w:t>
      </w:r>
      <w:r w:rsidRPr="00AB77F4">
        <w:rPr>
          <w:rtl/>
        </w:rPr>
        <w:t xml:space="preserve"> پ</w:t>
      </w:r>
      <w:r w:rsidRPr="00AB77F4">
        <w:rPr>
          <w:rFonts w:hint="cs"/>
          <w:rtl/>
        </w:rPr>
        <w:t>یمان‌شکنی</w:t>
      </w:r>
      <w:r w:rsidRPr="00AB77F4">
        <w:rPr>
          <w:rtl/>
        </w:rPr>
        <w:t xml:space="preserve"> </w:t>
      </w:r>
      <w:r w:rsidRPr="00AB77F4">
        <w:rPr>
          <w:rFonts w:hint="cs"/>
          <w:rtl/>
        </w:rPr>
        <w:t>یهودیان</w:t>
      </w:r>
      <w:r w:rsidRPr="00AB77F4">
        <w:rPr>
          <w:rtl/>
        </w:rPr>
        <w:t xml:space="preserve"> بن</w:t>
      </w:r>
      <w:r w:rsidRPr="00AB77F4">
        <w:rPr>
          <w:rFonts w:hint="cs"/>
          <w:rtl/>
        </w:rPr>
        <w:t>ی</w:t>
      </w:r>
      <w:r w:rsidRPr="00AB77F4">
        <w:rPr>
          <w:rtl/>
        </w:rPr>
        <w:t xml:space="preserve"> قر</w:t>
      </w:r>
      <w:r w:rsidRPr="00AB77F4">
        <w:rPr>
          <w:rFonts w:hint="cs"/>
          <w:rtl/>
        </w:rPr>
        <w:t>یظه</w:t>
      </w:r>
      <w:r w:rsidRPr="00AB77F4">
        <w:rPr>
          <w:rtl/>
        </w:rPr>
        <w:t xml:space="preserve"> و هم‌پ</w:t>
      </w:r>
      <w:r w:rsidRPr="00AB77F4">
        <w:rPr>
          <w:rFonts w:hint="cs"/>
          <w:rtl/>
        </w:rPr>
        <w:t>یمان‌شدن</w:t>
      </w:r>
      <w:r w:rsidRPr="00AB77F4">
        <w:rPr>
          <w:rtl/>
        </w:rPr>
        <w:t xml:space="preserve"> آنان با مشرکان در غزوه خندق رو</w:t>
      </w:r>
      <w:r w:rsidRPr="00AB77F4">
        <w:rPr>
          <w:rFonts w:hint="cs"/>
          <w:rtl/>
        </w:rPr>
        <w:t>ی</w:t>
      </w:r>
      <w:r w:rsidRPr="00AB77F4">
        <w:rPr>
          <w:rtl/>
        </w:rPr>
        <w:t xml:space="preserve"> داد. در ا</w:t>
      </w:r>
      <w:r w:rsidRPr="00AB77F4">
        <w:rPr>
          <w:rFonts w:hint="cs"/>
          <w:rtl/>
        </w:rPr>
        <w:t>ین</w:t>
      </w:r>
      <w:r w:rsidRPr="00AB77F4">
        <w:rPr>
          <w:rtl/>
        </w:rPr>
        <w:t xml:space="preserve"> غزوه مسلمانان قلعه‌ها</w:t>
      </w:r>
      <w:r w:rsidRPr="00AB77F4">
        <w:rPr>
          <w:rFonts w:hint="cs"/>
          <w:rtl/>
        </w:rPr>
        <w:t>ی</w:t>
      </w:r>
      <w:r w:rsidRPr="00AB77F4">
        <w:rPr>
          <w:rtl/>
        </w:rPr>
        <w:t xml:space="preserve"> بن</w:t>
      </w:r>
      <w:r w:rsidRPr="00AB77F4">
        <w:rPr>
          <w:rFonts w:hint="cs"/>
          <w:rtl/>
        </w:rPr>
        <w:t>ی</w:t>
      </w:r>
      <w:r w:rsidRPr="00AB77F4">
        <w:rPr>
          <w:rtl/>
        </w:rPr>
        <w:t xml:space="preserve"> قُرَ</w:t>
      </w:r>
      <w:r w:rsidRPr="00AB77F4">
        <w:rPr>
          <w:rFonts w:hint="cs"/>
          <w:rtl/>
        </w:rPr>
        <w:t>یظه</w:t>
      </w:r>
      <w:r w:rsidRPr="00AB77F4">
        <w:rPr>
          <w:rtl/>
        </w:rPr>
        <w:t xml:space="preserve"> را محاصره کردند. پس از حدود </w:t>
      </w:r>
      <w:r w:rsidRPr="00AB77F4">
        <w:rPr>
          <w:rFonts w:hint="cs"/>
          <w:rtl/>
        </w:rPr>
        <w:t>یک</w:t>
      </w:r>
      <w:r w:rsidRPr="00AB77F4">
        <w:rPr>
          <w:rtl/>
        </w:rPr>
        <w:t xml:space="preserve"> ماه، </w:t>
      </w:r>
      <w:r w:rsidRPr="00AB77F4">
        <w:rPr>
          <w:rFonts w:hint="cs"/>
          <w:rtl/>
        </w:rPr>
        <w:t>یهودیان</w:t>
      </w:r>
      <w:r w:rsidRPr="00AB77F4">
        <w:rPr>
          <w:rtl/>
        </w:rPr>
        <w:t xml:space="preserve"> تسل</w:t>
      </w:r>
      <w:r w:rsidRPr="00AB77F4">
        <w:rPr>
          <w:rFonts w:hint="cs"/>
          <w:rtl/>
        </w:rPr>
        <w:t>یم</w:t>
      </w:r>
      <w:r w:rsidRPr="00AB77F4">
        <w:rPr>
          <w:rtl/>
        </w:rPr>
        <w:t xml:space="preserve"> شدند و حکم</w:t>
      </w:r>
      <w:r w:rsidRPr="00AB77F4">
        <w:rPr>
          <w:rFonts w:hint="cs"/>
          <w:rtl/>
        </w:rPr>
        <w:t>یت</w:t>
      </w:r>
      <w:r w:rsidRPr="00AB77F4">
        <w:rPr>
          <w:rtl/>
        </w:rPr>
        <w:t xml:space="preserve"> سعد بن معاذ را به پ</w:t>
      </w:r>
      <w:r w:rsidRPr="00AB77F4">
        <w:rPr>
          <w:rFonts w:hint="cs"/>
          <w:rtl/>
        </w:rPr>
        <w:t>یامبر</w:t>
      </w:r>
      <w:r w:rsidRPr="00AB77F4">
        <w:rPr>
          <w:rtl/>
        </w:rPr>
        <w:t>(ص) پ</w:t>
      </w:r>
      <w:r w:rsidRPr="00AB77F4">
        <w:rPr>
          <w:rFonts w:hint="cs"/>
          <w:rtl/>
        </w:rPr>
        <w:t>یشنهاد</w:t>
      </w:r>
      <w:r w:rsidRPr="00AB77F4">
        <w:rPr>
          <w:rtl/>
        </w:rPr>
        <w:t xml:space="preserve"> کردند. طبق برخ</w:t>
      </w:r>
      <w:r w:rsidRPr="00AB77F4">
        <w:rPr>
          <w:rFonts w:hint="cs"/>
          <w:rtl/>
        </w:rPr>
        <w:t>ی</w:t>
      </w:r>
      <w:r w:rsidRPr="00AB77F4">
        <w:rPr>
          <w:rtl/>
        </w:rPr>
        <w:t xml:space="preserve"> نقل‌ها، سَعد با استناد به پ</w:t>
      </w:r>
      <w:r w:rsidRPr="00AB77F4">
        <w:rPr>
          <w:rFonts w:hint="cs"/>
          <w:rtl/>
        </w:rPr>
        <w:t>یمان</w:t>
      </w:r>
      <w:r w:rsidRPr="00AB77F4">
        <w:rPr>
          <w:rtl/>
        </w:rPr>
        <w:t xml:space="preserve"> </w:t>
      </w:r>
      <w:r w:rsidRPr="00AB77F4">
        <w:rPr>
          <w:rFonts w:hint="cs"/>
          <w:rtl/>
        </w:rPr>
        <w:t>یهودیان</w:t>
      </w:r>
      <w:r w:rsidRPr="00AB77F4">
        <w:rPr>
          <w:rtl/>
        </w:rPr>
        <w:t xml:space="preserve"> با پ</w:t>
      </w:r>
      <w:r w:rsidRPr="00AB77F4">
        <w:rPr>
          <w:rFonts w:hint="cs"/>
          <w:rtl/>
        </w:rPr>
        <w:t>یامبر</w:t>
      </w:r>
      <w:r w:rsidRPr="00AB77F4">
        <w:rPr>
          <w:rtl/>
        </w:rPr>
        <w:t xml:space="preserve"> و ن</w:t>
      </w:r>
      <w:r w:rsidRPr="00AB77F4">
        <w:rPr>
          <w:rFonts w:hint="cs"/>
          <w:rtl/>
        </w:rPr>
        <w:t>یز</w:t>
      </w:r>
      <w:r w:rsidRPr="00AB77F4">
        <w:rPr>
          <w:rtl/>
        </w:rPr>
        <w:t xml:space="preserve"> حکم تورات، به قتل مردان جنگجو</w:t>
      </w:r>
      <w:r w:rsidRPr="00AB77F4">
        <w:rPr>
          <w:rFonts w:hint="cs"/>
          <w:rtl/>
        </w:rPr>
        <w:t>ی</w:t>
      </w:r>
      <w:r w:rsidRPr="00AB77F4">
        <w:rPr>
          <w:rtl/>
        </w:rPr>
        <w:t xml:space="preserve"> قب</w:t>
      </w:r>
      <w:r w:rsidRPr="00AB77F4">
        <w:rPr>
          <w:rFonts w:hint="cs"/>
          <w:rtl/>
        </w:rPr>
        <w:t>یله،</w:t>
      </w:r>
      <w:r w:rsidRPr="00AB77F4">
        <w:rPr>
          <w:rtl/>
        </w:rPr>
        <w:t xml:space="preserve"> اسارت زنان و کودکان و مصادره اموال حکم کرد </w:t>
      </w:r>
      <w:r>
        <w:rPr>
          <w:rFonts w:hint="cs"/>
          <w:rtl/>
        </w:rPr>
        <w:t>و حتی برای تشخیص بلوغ پسر بچه‏ها دستور داد تا روییدن موی درشت و خشن که علامت بلوغ است در پسران مورد معاینه قرار بگیرد و اگر بلوغ آنها محرز می</w:t>
      </w:r>
      <w:r>
        <w:rPr>
          <w:cs/>
        </w:rPr>
        <w:t>‎</w:t>
      </w:r>
      <w:r>
        <w:rPr>
          <w:rFonts w:hint="cs"/>
          <w:rtl/>
        </w:rPr>
        <w:t>شد در گروه مردان</w:t>
      </w:r>
      <w:r w:rsidR="00C100F9">
        <w:rPr>
          <w:rFonts w:hint="cs"/>
          <w:rtl/>
        </w:rPr>
        <w:t xml:space="preserve"> مقاتل مورد مجازات قرار می‏گرفتند و إلا در گروه ذراری یا همان ذرّیه قرار می</w:t>
      </w:r>
      <w:r w:rsidR="00C100F9">
        <w:rPr>
          <w:cs/>
        </w:rPr>
        <w:t>‎</w:t>
      </w:r>
      <w:r w:rsidR="00C100F9">
        <w:rPr>
          <w:rFonts w:hint="cs"/>
          <w:rtl/>
        </w:rPr>
        <w:t xml:space="preserve">گرفتند، </w:t>
      </w:r>
      <w:r w:rsidRPr="00AB77F4">
        <w:rPr>
          <w:rtl/>
        </w:rPr>
        <w:t>و</w:t>
      </w:r>
      <w:r w:rsidR="00C100F9">
        <w:rPr>
          <w:rFonts w:hint="cs"/>
          <w:rtl/>
        </w:rPr>
        <w:t>قتی این حکمیت سعد بن معاذ</w:t>
      </w:r>
      <w:r w:rsidRPr="00AB77F4">
        <w:rPr>
          <w:rtl/>
        </w:rPr>
        <w:t xml:space="preserve"> </w:t>
      </w:r>
      <w:r w:rsidR="00C100F9">
        <w:rPr>
          <w:rFonts w:hint="cs"/>
          <w:rtl/>
        </w:rPr>
        <w:t xml:space="preserve">به سمع مبارک </w:t>
      </w:r>
      <w:r w:rsidRPr="00AB77F4">
        <w:rPr>
          <w:rtl/>
        </w:rPr>
        <w:t>رسول خدا</w:t>
      </w:r>
      <w:r w:rsidR="001A4FE7">
        <w:rPr>
          <w:rFonts w:hint="cs"/>
          <w:rtl/>
        </w:rPr>
        <w:t>(ص)</w:t>
      </w:r>
      <w:r w:rsidRPr="00AB77F4">
        <w:rPr>
          <w:rtl/>
        </w:rPr>
        <w:t xml:space="preserve"> </w:t>
      </w:r>
      <w:r w:rsidR="00C100F9">
        <w:rPr>
          <w:rFonts w:hint="cs"/>
          <w:rtl/>
        </w:rPr>
        <w:t xml:space="preserve">رسید حضرت </w:t>
      </w:r>
      <w:r w:rsidRPr="00AB77F4">
        <w:rPr>
          <w:rtl/>
        </w:rPr>
        <w:t>ا</w:t>
      </w:r>
      <w:r w:rsidRPr="00AB77F4">
        <w:rPr>
          <w:rFonts w:hint="cs"/>
          <w:rtl/>
        </w:rPr>
        <w:t>ین</w:t>
      </w:r>
      <w:r w:rsidRPr="00AB77F4">
        <w:rPr>
          <w:rtl/>
        </w:rPr>
        <w:t xml:space="preserve"> حکم را پذ</w:t>
      </w:r>
      <w:r w:rsidRPr="00AB77F4">
        <w:rPr>
          <w:rFonts w:hint="cs"/>
          <w:rtl/>
        </w:rPr>
        <w:t>یر</w:t>
      </w:r>
      <w:r w:rsidRPr="00AB77F4">
        <w:rPr>
          <w:rtl/>
        </w:rPr>
        <w:t>فت</w:t>
      </w:r>
      <w:r w:rsidR="00C100F9">
        <w:rPr>
          <w:rFonts w:hint="cs"/>
          <w:rtl/>
        </w:rPr>
        <w:t xml:space="preserve"> و در مقام تمجید آن فرمودند: سعد با این</w:t>
      </w:r>
      <w:r w:rsidR="00AA1BF3">
        <w:rPr>
          <w:rFonts w:hint="cs"/>
          <w:rtl/>
        </w:rPr>
        <w:t xml:space="preserve"> حکم خود همان حکم خدای متعال </w:t>
      </w:r>
      <w:r w:rsidR="00C100F9">
        <w:rPr>
          <w:rFonts w:hint="cs"/>
          <w:rtl/>
        </w:rPr>
        <w:t>که در منتهای آسمان</w:t>
      </w:r>
      <w:r w:rsidR="001A4FE7">
        <w:rPr>
          <w:cs/>
        </w:rPr>
        <w:t>‎</w:t>
      </w:r>
      <w:r w:rsidR="00C100F9">
        <w:rPr>
          <w:rFonts w:hint="cs"/>
          <w:rtl/>
        </w:rPr>
        <w:t>های هفت</w:t>
      </w:r>
      <w:r w:rsidR="00C100F9">
        <w:rPr>
          <w:cs/>
        </w:rPr>
        <w:t>‎</w:t>
      </w:r>
      <w:r w:rsidR="00C100F9">
        <w:rPr>
          <w:rFonts w:hint="cs"/>
          <w:rtl/>
        </w:rPr>
        <w:t xml:space="preserve">گانه است را صادر نموده است. </w:t>
      </w:r>
    </w:p>
    <w:sectPr w:rsidR="001A1EA5" w:rsidRPr="003B623D" w:rsidSect="00B445D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3B" w:rsidRDefault="005E623B" w:rsidP="008B750B">
      <w:pPr>
        <w:spacing w:line="240" w:lineRule="auto"/>
      </w:pPr>
      <w:r>
        <w:separator/>
      </w:r>
    </w:p>
  </w:endnote>
  <w:endnote w:type="continuationSeparator" w:id="0">
    <w:p w:rsidR="005E623B" w:rsidRDefault="005E623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0"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D" w:rsidRDefault="00BF0B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A28AA" w:rsidRPr="00EA28A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D" w:rsidRDefault="00BF0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3B" w:rsidRDefault="005E623B" w:rsidP="008B750B">
      <w:pPr>
        <w:spacing w:line="240" w:lineRule="auto"/>
      </w:pPr>
      <w:r>
        <w:separator/>
      </w:r>
    </w:p>
  </w:footnote>
  <w:footnote w:type="continuationSeparator" w:id="0">
    <w:p w:rsidR="005E623B" w:rsidRDefault="005E623B" w:rsidP="008B750B">
      <w:pPr>
        <w:spacing w:line="240" w:lineRule="auto"/>
      </w:pPr>
      <w:r>
        <w:continuationSeparator/>
      </w:r>
    </w:p>
  </w:footnote>
  <w:footnote w:id="1">
    <w:p w:rsidR="00AB6F5F" w:rsidRPr="00C100F9" w:rsidRDefault="00AB6F5F" w:rsidP="00AB6F5F">
      <w:pPr>
        <w:pStyle w:val="FootnoteText"/>
        <w:rPr>
          <w:sz w:val="24"/>
          <w:szCs w:val="24"/>
          <w:rtl/>
        </w:rPr>
      </w:pPr>
      <w:r w:rsidRPr="00C100F9">
        <w:rPr>
          <w:sz w:val="24"/>
          <w:szCs w:val="24"/>
        </w:rPr>
        <w:footnoteRef/>
      </w:r>
      <w:r w:rsidRPr="00C100F9">
        <w:rPr>
          <w:sz w:val="24"/>
          <w:szCs w:val="24"/>
          <w:rtl/>
        </w:rPr>
        <w:t xml:space="preserve"> </w:t>
      </w:r>
      <w:hyperlink r:id="rId1" w:history="1">
        <w:r w:rsidRPr="00C100F9">
          <w:rPr>
            <w:rStyle w:val="Hyperlink"/>
            <w:sz w:val="24"/>
            <w:szCs w:val="24"/>
            <w:rtl/>
          </w:rPr>
          <w:t>سوره صافات، آيه 102.</w:t>
        </w:r>
      </w:hyperlink>
    </w:p>
  </w:footnote>
  <w:footnote w:id="2">
    <w:p w:rsidR="00AB6F5F" w:rsidRPr="00C100F9" w:rsidRDefault="00AB6F5F" w:rsidP="00AB6F5F">
      <w:pPr>
        <w:pStyle w:val="FootnoteText"/>
        <w:rPr>
          <w:sz w:val="24"/>
          <w:szCs w:val="24"/>
        </w:rPr>
      </w:pPr>
      <w:r w:rsidRPr="00C100F9">
        <w:rPr>
          <w:sz w:val="24"/>
          <w:szCs w:val="24"/>
        </w:rPr>
        <w:footnoteRef/>
      </w:r>
      <w:r w:rsidRPr="00C100F9">
        <w:rPr>
          <w:sz w:val="24"/>
          <w:szCs w:val="24"/>
          <w:rtl/>
        </w:rPr>
        <w:t xml:space="preserve"> </w:t>
      </w:r>
      <w:hyperlink r:id="rId2" w:history="1">
        <w:r w:rsidRPr="00C100F9">
          <w:rPr>
            <w:rStyle w:val="Hyperlink"/>
            <w:sz w:val="24"/>
            <w:szCs w:val="24"/>
            <w:rtl/>
          </w:rPr>
          <w:t xml:space="preserve">ترجمه </w:t>
        </w:r>
        <w:r w:rsidRPr="00C100F9">
          <w:rPr>
            <w:rStyle w:val="Hyperlink"/>
            <w:sz w:val="24"/>
            <w:szCs w:val="24"/>
            <w:rtl/>
          </w:rPr>
          <w:t>قرآن‌، مكارم شيرازى، ناصر، ج1، ص449</w:t>
        </w:r>
        <w:r w:rsidRPr="00C100F9">
          <w:rPr>
            <w:rStyle w:val="Hyperlink"/>
            <w:sz w:val="24"/>
            <w:szCs w:val="24"/>
          </w:rPr>
          <w:t>.</w:t>
        </w:r>
      </w:hyperlink>
    </w:p>
  </w:footnote>
  <w:footnote w:id="3">
    <w:p w:rsidR="00F14262" w:rsidRPr="00C100F9" w:rsidRDefault="00F14262" w:rsidP="00F14262">
      <w:pPr>
        <w:pStyle w:val="FootnoteText"/>
        <w:rPr>
          <w:sz w:val="24"/>
          <w:szCs w:val="24"/>
          <w:rtl/>
        </w:rPr>
      </w:pPr>
      <w:r w:rsidRPr="00C100F9">
        <w:rPr>
          <w:sz w:val="24"/>
          <w:szCs w:val="24"/>
        </w:rPr>
        <w:footnoteRef/>
      </w:r>
      <w:r w:rsidRPr="00C100F9">
        <w:rPr>
          <w:sz w:val="24"/>
          <w:szCs w:val="24"/>
          <w:rtl/>
        </w:rPr>
        <w:t xml:space="preserve"> </w:t>
      </w:r>
      <w:hyperlink r:id="rId3" w:history="1">
        <w:r w:rsidRPr="00C100F9">
          <w:rPr>
            <w:rStyle w:val="Hyperlink"/>
            <w:sz w:val="24"/>
            <w:szCs w:val="24"/>
            <w:rtl/>
          </w:rPr>
          <w:t>سوره صافات، آيه 103.</w:t>
        </w:r>
      </w:hyperlink>
    </w:p>
  </w:footnote>
  <w:footnote w:id="4">
    <w:p w:rsidR="00F14262" w:rsidRPr="00C100F9" w:rsidRDefault="00F14262" w:rsidP="00F14262">
      <w:pPr>
        <w:pStyle w:val="FootnoteText"/>
        <w:rPr>
          <w:sz w:val="24"/>
          <w:szCs w:val="24"/>
          <w:rtl/>
        </w:rPr>
      </w:pPr>
      <w:r w:rsidRPr="00C100F9">
        <w:rPr>
          <w:sz w:val="24"/>
          <w:szCs w:val="24"/>
        </w:rPr>
        <w:footnoteRef/>
      </w:r>
      <w:r w:rsidRPr="00C100F9">
        <w:rPr>
          <w:sz w:val="24"/>
          <w:szCs w:val="24"/>
          <w:rtl/>
        </w:rPr>
        <w:t xml:space="preserve"> </w:t>
      </w:r>
      <w:hyperlink r:id="rId4" w:history="1">
        <w:r w:rsidRPr="00C100F9">
          <w:rPr>
            <w:rStyle w:val="Hyperlink"/>
            <w:sz w:val="24"/>
            <w:szCs w:val="24"/>
            <w:rtl/>
          </w:rPr>
          <w:t xml:space="preserve">ترجمه </w:t>
        </w:r>
        <w:r w:rsidRPr="00C100F9">
          <w:rPr>
            <w:rStyle w:val="Hyperlink"/>
            <w:sz w:val="24"/>
            <w:szCs w:val="24"/>
            <w:rtl/>
          </w:rPr>
          <w:t>قرآن‌، مكارم شيرازى، ناصر، ج1، ص450.</w:t>
        </w:r>
      </w:hyperlink>
    </w:p>
  </w:footnote>
  <w:footnote w:id="5">
    <w:p w:rsidR="00F14262" w:rsidRPr="00C100F9" w:rsidRDefault="00F14262" w:rsidP="00F14262">
      <w:pPr>
        <w:pStyle w:val="FootnoteText"/>
        <w:rPr>
          <w:sz w:val="24"/>
          <w:szCs w:val="24"/>
          <w:rtl/>
        </w:rPr>
      </w:pPr>
      <w:r w:rsidRPr="00C100F9">
        <w:rPr>
          <w:sz w:val="24"/>
          <w:szCs w:val="24"/>
        </w:rPr>
        <w:footnoteRef/>
      </w:r>
      <w:r w:rsidRPr="00C100F9">
        <w:rPr>
          <w:sz w:val="24"/>
          <w:szCs w:val="24"/>
          <w:rtl/>
        </w:rPr>
        <w:t xml:space="preserve"> </w:t>
      </w:r>
      <w:hyperlink r:id="rId5" w:history="1">
        <w:r w:rsidRPr="00C100F9">
          <w:rPr>
            <w:rStyle w:val="Hyperlink"/>
            <w:sz w:val="24"/>
            <w:szCs w:val="24"/>
            <w:rtl/>
          </w:rPr>
          <w:t xml:space="preserve">سوره </w:t>
        </w:r>
        <w:r w:rsidRPr="00C100F9">
          <w:rPr>
            <w:rStyle w:val="Hyperlink"/>
            <w:sz w:val="24"/>
            <w:szCs w:val="24"/>
            <w:rtl/>
          </w:rPr>
          <w:t>صافات، آيه 104.</w:t>
        </w:r>
      </w:hyperlink>
    </w:p>
  </w:footnote>
  <w:footnote w:id="6">
    <w:p w:rsidR="00F14262" w:rsidRPr="00C100F9" w:rsidRDefault="00F14262" w:rsidP="00F14262">
      <w:pPr>
        <w:pStyle w:val="FootnoteText"/>
        <w:rPr>
          <w:sz w:val="24"/>
          <w:szCs w:val="24"/>
        </w:rPr>
      </w:pPr>
      <w:r w:rsidRPr="00C100F9">
        <w:rPr>
          <w:sz w:val="24"/>
          <w:szCs w:val="24"/>
        </w:rPr>
        <w:footnoteRef/>
      </w:r>
      <w:r w:rsidRPr="00C100F9">
        <w:rPr>
          <w:sz w:val="24"/>
          <w:szCs w:val="24"/>
          <w:rtl/>
        </w:rPr>
        <w:t xml:space="preserve"> </w:t>
      </w:r>
      <w:hyperlink r:id="rId6" w:history="1">
        <w:r w:rsidRPr="00C100F9">
          <w:rPr>
            <w:rStyle w:val="Hyperlink"/>
            <w:sz w:val="24"/>
            <w:szCs w:val="24"/>
            <w:rtl/>
          </w:rPr>
          <w:t xml:space="preserve">ترجمه </w:t>
        </w:r>
        <w:r w:rsidRPr="00C100F9">
          <w:rPr>
            <w:rStyle w:val="Hyperlink"/>
            <w:sz w:val="24"/>
            <w:szCs w:val="24"/>
            <w:rtl/>
          </w:rPr>
          <w:t>قرآن‌، مكارم شيرازى، ناصر، ج1، ص450</w:t>
        </w:r>
        <w:r w:rsidRPr="00C100F9">
          <w:rPr>
            <w:rStyle w:val="Hyperlink"/>
            <w:sz w:val="24"/>
            <w:szCs w:val="24"/>
          </w:rPr>
          <w:t>.</w:t>
        </w:r>
      </w:hyperlink>
    </w:p>
  </w:footnote>
  <w:footnote w:id="7">
    <w:p w:rsidR="00E33003" w:rsidRPr="00C100F9" w:rsidRDefault="00E33003" w:rsidP="00E33003">
      <w:pPr>
        <w:pStyle w:val="FootnoteText"/>
        <w:rPr>
          <w:sz w:val="24"/>
          <w:szCs w:val="24"/>
          <w:rtl/>
        </w:rPr>
      </w:pPr>
      <w:r w:rsidRPr="00C100F9">
        <w:rPr>
          <w:sz w:val="24"/>
          <w:szCs w:val="24"/>
        </w:rPr>
        <w:footnoteRef/>
      </w:r>
      <w:r w:rsidRPr="00C100F9">
        <w:rPr>
          <w:sz w:val="24"/>
          <w:szCs w:val="24"/>
          <w:rtl/>
        </w:rPr>
        <w:t xml:space="preserve"> </w:t>
      </w:r>
      <w:hyperlink r:id="rId7" w:history="1">
        <w:r w:rsidRPr="00C100F9">
          <w:rPr>
            <w:rStyle w:val="Hyperlink"/>
            <w:sz w:val="24"/>
            <w:szCs w:val="24"/>
            <w:rtl/>
          </w:rPr>
          <w:t>سوره صافات، آيه 105.</w:t>
        </w:r>
      </w:hyperlink>
    </w:p>
  </w:footnote>
  <w:footnote w:id="8">
    <w:p w:rsidR="00E33003" w:rsidRPr="00C100F9" w:rsidRDefault="00E33003" w:rsidP="00E33003">
      <w:pPr>
        <w:pStyle w:val="FootnoteText"/>
        <w:rPr>
          <w:sz w:val="24"/>
          <w:szCs w:val="24"/>
        </w:rPr>
      </w:pPr>
      <w:r w:rsidRPr="00C100F9">
        <w:rPr>
          <w:sz w:val="24"/>
          <w:szCs w:val="24"/>
        </w:rPr>
        <w:footnoteRef/>
      </w:r>
      <w:r w:rsidRPr="00C100F9">
        <w:rPr>
          <w:sz w:val="24"/>
          <w:szCs w:val="24"/>
          <w:rtl/>
        </w:rPr>
        <w:t xml:space="preserve"> </w:t>
      </w:r>
      <w:hyperlink r:id="rId8" w:history="1">
        <w:r w:rsidRPr="00C100F9">
          <w:rPr>
            <w:rStyle w:val="Hyperlink"/>
            <w:sz w:val="24"/>
            <w:szCs w:val="24"/>
            <w:rtl/>
          </w:rPr>
          <w:t>ترجمه قرآن‌، مكارم شيرازى، ناصر، ج1، ص450</w:t>
        </w:r>
        <w:r w:rsidRPr="00C100F9">
          <w:rPr>
            <w:rStyle w:val="Hyperlink"/>
            <w:sz w:val="24"/>
            <w:szCs w:val="24"/>
          </w:rPr>
          <w:t>.</w:t>
        </w:r>
      </w:hyperlink>
    </w:p>
  </w:footnote>
  <w:footnote w:id="9">
    <w:p w:rsidR="00E33003" w:rsidRPr="00C100F9" w:rsidRDefault="00E33003" w:rsidP="00E33003">
      <w:pPr>
        <w:pStyle w:val="FootnoteText"/>
        <w:rPr>
          <w:sz w:val="24"/>
          <w:szCs w:val="24"/>
          <w:rtl/>
        </w:rPr>
      </w:pPr>
      <w:r w:rsidRPr="00C100F9">
        <w:rPr>
          <w:sz w:val="24"/>
          <w:szCs w:val="24"/>
        </w:rPr>
        <w:footnoteRef/>
      </w:r>
      <w:r w:rsidRPr="00C100F9">
        <w:rPr>
          <w:sz w:val="24"/>
          <w:szCs w:val="24"/>
          <w:rtl/>
        </w:rPr>
        <w:t xml:space="preserve"> </w:t>
      </w:r>
      <w:hyperlink r:id="rId9" w:history="1">
        <w:r w:rsidRPr="00C100F9">
          <w:rPr>
            <w:rStyle w:val="Hyperlink"/>
            <w:sz w:val="24"/>
            <w:szCs w:val="24"/>
            <w:rtl/>
          </w:rPr>
          <w:t>سوره صافات، آيه 106.</w:t>
        </w:r>
      </w:hyperlink>
    </w:p>
  </w:footnote>
  <w:footnote w:id="10">
    <w:p w:rsidR="00E33003" w:rsidRPr="00C100F9" w:rsidRDefault="00E33003" w:rsidP="00E33003">
      <w:pPr>
        <w:pStyle w:val="FootnoteText"/>
        <w:rPr>
          <w:sz w:val="24"/>
          <w:szCs w:val="24"/>
        </w:rPr>
      </w:pPr>
      <w:r w:rsidRPr="00C100F9">
        <w:rPr>
          <w:sz w:val="24"/>
          <w:szCs w:val="24"/>
        </w:rPr>
        <w:footnoteRef/>
      </w:r>
      <w:r w:rsidRPr="00C100F9">
        <w:rPr>
          <w:sz w:val="24"/>
          <w:szCs w:val="24"/>
          <w:rtl/>
        </w:rPr>
        <w:t xml:space="preserve"> </w:t>
      </w:r>
      <w:hyperlink r:id="rId10" w:history="1">
        <w:r w:rsidRPr="00C100F9">
          <w:rPr>
            <w:rStyle w:val="Hyperlink"/>
            <w:sz w:val="24"/>
            <w:szCs w:val="24"/>
            <w:rtl/>
          </w:rPr>
          <w:t xml:space="preserve">ترجمه </w:t>
        </w:r>
        <w:r w:rsidRPr="00C100F9">
          <w:rPr>
            <w:rStyle w:val="Hyperlink"/>
            <w:sz w:val="24"/>
            <w:szCs w:val="24"/>
            <w:rtl/>
          </w:rPr>
          <w:t>قرآن‌، مكارم شيرازى، ناصر، ج1، ص450</w:t>
        </w:r>
        <w:r w:rsidRPr="00C100F9">
          <w:rPr>
            <w:rStyle w:val="Hyperlink"/>
            <w:sz w:val="24"/>
            <w:szCs w:val="24"/>
          </w:rPr>
          <w:t>.</w:t>
        </w:r>
      </w:hyperlink>
    </w:p>
  </w:footnote>
  <w:footnote w:id="11">
    <w:p w:rsidR="009B2E7B" w:rsidRPr="00C100F9" w:rsidRDefault="009B2E7B" w:rsidP="009B2E7B">
      <w:pPr>
        <w:pStyle w:val="FootnoteText"/>
        <w:rPr>
          <w:sz w:val="24"/>
          <w:szCs w:val="24"/>
          <w:rtl/>
        </w:rPr>
      </w:pPr>
      <w:r w:rsidRPr="00C100F9">
        <w:rPr>
          <w:sz w:val="24"/>
          <w:szCs w:val="24"/>
        </w:rPr>
        <w:footnoteRef/>
      </w:r>
      <w:r w:rsidRPr="00C100F9">
        <w:rPr>
          <w:sz w:val="24"/>
          <w:szCs w:val="24"/>
          <w:rtl/>
        </w:rPr>
        <w:t xml:space="preserve"> </w:t>
      </w:r>
      <w:hyperlink r:id="rId11" w:history="1">
        <w:r w:rsidRPr="00C100F9">
          <w:rPr>
            <w:rStyle w:val="Hyperlink"/>
            <w:sz w:val="24"/>
            <w:szCs w:val="24"/>
            <w:rtl/>
          </w:rPr>
          <w:t>جواهر الكلام، النجفي الجواهري، الشيخ محمد حسن، ج26، ص21.</w:t>
        </w:r>
      </w:hyperlink>
    </w:p>
  </w:footnote>
  <w:footnote w:id="12">
    <w:p w:rsidR="00152992" w:rsidRPr="00C100F9" w:rsidRDefault="00152992" w:rsidP="00152992">
      <w:pPr>
        <w:pStyle w:val="FootnoteText"/>
        <w:rPr>
          <w:sz w:val="24"/>
          <w:szCs w:val="24"/>
        </w:rPr>
      </w:pPr>
      <w:r w:rsidRPr="00C100F9">
        <w:rPr>
          <w:sz w:val="24"/>
          <w:szCs w:val="24"/>
        </w:rPr>
        <w:footnoteRef/>
      </w:r>
      <w:r w:rsidRPr="00C100F9">
        <w:rPr>
          <w:sz w:val="24"/>
          <w:szCs w:val="24"/>
          <w:rtl/>
        </w:rPr>
        <w:t xml:space="preserve"> </w:t>
      </w:r>
      <w:hyperlink r:id="rId12" w:history="1">
        <w:r w:rsidRPr="00C100F9">
          <w:rPr>
            <w:rStyle w:val="Hyperlink"/>
            <w:rFonts w:hint="cs"/>
            <w:sz w:val="24"/>
            <w:szCs w:val="24"/>
            <w:rtl/>
          </w:rPr>
          <w:t>الخلاف،</w:t>
        </w:r>
        <w:r w:rsidRPr="00C100F9">
          <w:rPr>
            <w:rStyle w:val="Hyperlink"/>
            <w:sz w:val="24"/>
            <w:szCs w:val="24"/>
            <w:rtl/>
          </w:rPr>
          <w:t xml:space="preserve"> </w:t>
        </w:r>
        <w:r w:rsidRPr="00C100F9">
          <w:rPr>
            <w:rStyle w:val="Hyperlink"/>
            <w:sz w:val="24"/>
            <w:szCs w:val="24"/>
            <w:rtl/>
          </w:rPr>
          <w:t>الشيخ الطوسي، ج3، ص282.</w:t>
        </w:r>
      </w:hyperlink>
    </w:p>
  </w:footnote>
  <w:footnote w:id="13">
    <w:p w:rsidR="001D2073" w:rsidRPr="00C100F9" w:rsidRDefault="001D2073" w:rsidP="001D2073">
      <w:pPr>
        <w:pStyle w:val="FootnoteText"/>
        <w:rPr>
          <w:sz w:val="24"/>
          <w:szCs w:val="24"/>
        </w:rPr>
      </w:pPr>
      <w:r w:rsidRPr="00C100F9">
        <w:rPr>
          <w:sz w:val="24"/>
          <w:szCs w:val="24"/>
        </w:rPr>
        <w:footnoteRef/>
      </w:r>
      <w:r w:rsidRPr="00C100F9">
        <w:rPr>
          <w:sz w:val="24"/>
          <w:szCs w:val="24"/>
          <w:rtl/>
        </w:rPr>
        <w:t xml:space="preserve"> </w:t>
      </w:r>
      <w:hyperlink r:id="rId13" w:history="1">
        <w:r w:rsidRPr="00C100F9">
          <w:rPr>
            <w:rStyle w:val="Hyperlink"/>
            <w:sz w:val="24"/>
            <w:szCs w:val="24"/>
            <w:rtl/>
          </w:rPr>
          <w:t xml:space="preserve">مختلف </w:t>
        </w:r>
        <w:r w:rsidRPr="00C100F9">
          <w:rPr>
            <w:rStyle w:val="Hyperlink"/>
            <w:sz w:val="24"/>
            <w:szCs w:val="24"/>
            <w:rtl/>
          </w:rPr>
          <w:t>الشيعة في أحكام الشريعة‌‌، العلامة الحلي، ج5، ص431.</w:t>
        </w:r>
      </w:hyperlink>
    </w:p>
  </w:footnote>
  <w:footnote w:id="14">
    <w:p w:rsidR="001D2073" w:rsidRPr="00C100F9" w:rsidRDefault="001D2073" w:rsidP="001D2073">
      <w:pPr>
        <w:pStyle w:val="FootnoteText"/>
        <w:rPr>
          <w:sz w:val="24"/>
          <w:szCs w:val="24"/>
          <w:rtl/>
        </w:rPr>
      </w:pPr>
      <w:r w:rsidRPr="00C100F9">
        <w:rPr>
          <w:sz w:val="24"/>
          <w:szCs w:val="24"/>
        </w:rPr>
        <w:footnoteRef/>
      </w:r>
      <w:r w:rsidRPr="00C100F9">
        <w:rPr>
          <w:sz w:val="24"/>
          <w:szCs w:val="24"/>
          <w:rtl/>
        </w:rPr>
        <w:t xml:space="preserve"> </w:t>
      </w:r>
      <w:hyperlink r:id="rId14" w:history="1">
        <w:r w:rsidRPr="00C100F9">
          <w:rPr>
            <w:rStyle w:val="Hyperlink"/>
            <w:sz w:val="24"/>
            <w:szCs w:val="24"/>
            <w:rtl/>
          </w:rPr>
          <w:t xml:space="preserve">مختلف </w:t>
        </w:r>
        <w:r w:rsidRPr="00C100F9">
          <w:rPr>
            <w:rStyle w:val="Hyperlink"/>
            <w:sz w:val="24"/>
            <w:szCs w:val="24"/>
            <w:rtl/>
          </w:rPr>
          <w:t>الشيعة في أحكام الشريعة‌‌، العلامة الحلي، ج5، ص432.</w:t>
        </w:r>
      </w:hyperlink>
    </w:p>
  </w:footnote>
  <w:footnote w:id="15">
    <w:p w:rsidR="0073529F" w:rsidRPr="00C100F9" w:rsidRDefault="0073529F" w:rsidP="0073529F">
      <w:pPr>
        <w:pStyle w:val="FootnoteText"/>
        <w:rPr>
          <w:sz w:val="24"/>
          <w:szCs w:val="24"/>
          <w:rtl/>
        </w:rPr>
      </w:pPr>
      <w:r w:rsidRPr="00C100F9">
        <w:rPr>
          <w:sz w:val="24"/>
          <w:szCs w:val="24"/>
        </w:rPr>
        <w:footnoteRef/>
      </w:r>
      <w:r w:rsidRPr="00C100F9">
        <w:rPr>
          <w:sz w:val="24"/>
          <w:szCs w:val="24"/>
          <w:rtl/>
        </w:rPr>
        <w:t xml:space="preserve"> </w:t>
      </w:r>
      <w:hyperlink r:id="rId15" w:history="1">
        <w:r w:rsidRPr="00C100F9">
          <w:rPr>
            <w:rStyle w:val="Hyperlink"/>
            <w:sz w:val="24"/>
            <w:szCs w:val="24"/>
            <w:rtl/>
          </w:rPr>
          <w:t xml:space="preserve">الخلاف، </w:t>
        </w:r>
        <w:r w:rsidRPr="00C100F9">
          <w:rPr>
            <w:rStyle w:val="Hyperlink"/>
            <w:sz w:val="24"/>
            <w:szCs w:val="24"/>
            <w:rtl/>
          </w:rPr>
          <w:t>الشيخ الطوسي، ج3، ص283.</w:t>
        </w:r>
      </w:hyperlink>
    </w:p>
  </w:footnote>
  <w:footnote w:id="16">
    <w:p w:rsidR="00453917" w:rsidRPr="00C100F9" w:rsidRDefault="00453917" w:rsidP="00453917">
      <w:pPr>
        <w:pStyle w:val="FootnoteText"/>
        <w:rPr>
          <w:sz w:val="24"/>
          <w:szCs w:val="24"/>
        </w:rPr>
      </w:pPr>
      <w:r w:rsidRPr="00C100F9">
        <w:rPr>
          <w:sz w:val="24"/>
          <w:szCs w:val="24"/>
        </w:rPr>
        <w:footnoteRef/>
      </w:r>
      <w:r w:rsidRPr="00C100F9">
        <w:rPr>
          <w:sz w:val="24"/>
          <w:szCs w:val="24"/>
          <w:rtl/>
        </w:rPr>
        <w:t xml:space="preserve"> </w:t>
      </w:r>
      <w:hyperlink r:id="rId16" w:history="1">
        <w:r w:rsidRPr="00C100F9">
          <w:rPr>
            <w:rStyle w:val="Hyperlink"/>
            <w:sz w:val="24"/>
            <w:szCs w:val="24"/>
            <w:rtl/>
          </w:rPr>
          <w:t xml:space="preserve">الخلاف، </w:t>
        </w:r>
        <w:r w:rsidRPr="00C100F9">
          <w:rPr>
            <w:rStyle w:val="Hyperlink"/>
            <w:sz w:val="24"/>
            <w:szCs w:val="24"/>
            <w:rtl/>
          </w:rPr>
          <w:t>الشيخ الطوسي، ج3، ص283.</w:t>
        </w:r>
      </w:hyperlink>
    </w:p>
  </w:footnote>
  <w:footnote w:id="17">
    <w:p w:rsidR="00A51AF3" w:rsidRPr="00C100F9" w:rsidRDefault="00A51AF3" w:rsidP="00A51AF3">
      <w:pPr>
        <w:pStyle w:val="FootnoteText"/>
        <w:rPr>
          <w:sz w:val="24"/>
          <w:szCs w:val="24"/>
        </w:rPr>
      </w:pPr>
      <w:r w:rsidRPr="00C100F9">
        <w:rPr>
          <w:sz w:val="24"/>
          <w:szCs w:val="24"/>
        </w:rPr>
        <w:footnoteRef/>
      </w:r>
      <w:r w:rsidRPr="00C100F9">
        <w:rPr>
          <w:sz w:val="24"/>
          <w:szCs w:val="24"/>
          <w:rtl/>
        </w:rPr>
        <w:t xml:space="preserve"> </w:t>
      </w:r>
      <w:hyperlink r:id="rId17" w:history="1">
        <w:r w:rsidRPr="00C100F9">
          <w:rPr>
            <w:rStyle w:val="Hyperlink"/>
            <w:sz w:val="24"/>
            <w:szCs w:val="24"/>
            <w:rtl/>
          </w:rPr>
          <w:t xml:space="preserve">وسائل </w:t>
        </w:r>
        <w:r w:rsidRPr="00C100F9">
          <w:rPr>
            <w:rStyle w:val="Hyperlink"/>
            <w:sz w:val="24"/>
            <w:szCs w:val="24"/>
            <w:rtl/>
          </w:rPr>
          <w:t>الشيعة، الشيخ الحر العاملي، ج1، ص43، أبواب مقدمة العبادات، باب4، ح2، ط آل البيت.</w:t>
        </w:r>
      </w:hyperlink>
    </w:p>
  </w:footnote>
  <w:footnote w:id="18">
    <w:p w:rsidR="00AB77F4" w:rsidRPr="00C100F9" w:rsidRDefault="00AB77F4" w:rsidP="00AB77F4">
      <w:pPr>
        <w:pStyle w:val="FootnoteText"/>
        <w:rPr>
          <w:sz w:val="24"/>
          <w:szCs w:val="24"/>
          <w:rtl/>
        </w:rPr>
      </w:pPr>
      <w:r w:rsidRPr="00C100F9">
        <w:rPr>
          <w:sz w:val="24"/>
          <w:szCs w:val="24"/>
        </w:rPr>
        <w:footnoteRef/>
      </w:r>
      <w:r w:rsidRPr="00C100F9">
        <w:rPr>
          <w:sz w:val="24"/>
          <w:szCs w:val="24"/>
          <w:rtl/>
        </w:rPr>
        <w:t xml:space="preserve"> </w:t>
      </w:r>
      <w:hyperlink r:id="rId18" w:history="1">
        <w:r w:rsidRPr="00C100F9">
          <w:rPr>
            <w:rStyle w:val="Hyperlink"/>
            <w:sz w:val="24"/>
            <w:szCs w:val="24"/>
            <w:rtl/>
          </w:rPr>
          <w:t xml:space="preserve">سوره </w:t>
        </w:r>
        <w:r w:rsidRPr="00C100F9">
          <w:rPr>
            <w:rStyle w:val="Hyperlink"/>
            <w:sz w:val="24"/>
            <w:szCs w:val="24"/>
            <w:rtl/>
          </w:rPr>
          <w:t>نساء، آيه 6.</w:t>
        </w:r>
      </w:hyperlink>
    </w:p>
  </w:footnote>
  <w:footnote w:id="19">
    <w:p w:rsidR="00AB77F4" w:rsidRPr="00C100F9" w:rsidRDefault="00AB77F4" w:rsidP="00AB77F4">
      <w:pPr>
        <w:pStyle w:val="FootnoteText"/>
        <w:rPr>
          <w:sz w:val="24"/>
          <w:szCs w:val="24"/>
        </w:rPr>
      </w:pPr>
      <w:r w:rsidRPr="00C100F9">
        <w:rPr>
          <w:sz w:val="24"/>
          <w:szCs w:val="24"/>
        </w:rPr>
        <w:footnoteRef/>
      </w:r>
      <w:r w:rsidRPr="00C100F9">
        <w:rPr>
          <w:sz w:val="24"/>
          <w:szCs w:val="24"/>
          <w:rtl/>
        </w:rPr>
        <w:t xml:space="preserve"> </w:t>
      </w:r>
      <w:hyperlink r:id="rId19" w:history="1">
        <w:r w:rsidRPr="00C100F9">
          <w:rPr>
            <w:rStyle w:val="Hyperlink"/>
            <w:sz w:val="24"/>
            <w:szCs w:val="24"/>
            <w:rtl/>
          </w:rPr>
          <w:t xml:space="preserve">ترجمه </w:t>
        </w:r>
        <w:r w:rsidRPr="00C100F9">
          <w:rPr>
            <w:rStyle w:val="Hyperlink"/>
            <w:sz w:val="24"/>
            <w:szCs w:val="24"/>
            <w:rtl/>
          </w:rPr>
          <w:t>قرآن‌، مكارم شيرازى، ناصر، ج1، ص77</w:t>
        </w:r>
        <w:r w:rsidRPr="00C100F9">
          <w:rPr>
            <w:rStyle w:val="Hyperlink"/>
            <w:sz w:val="24"/>
            <w:szCs w:val="24"/>
          </w:rPr>
          <w:t>.</w:t>
        </w:r>
      </w:hyperlink>
    </w:p>
  </w:footnote>
  <w:footnote w:id="20">
    <w:p w:rsidR="002E6794" w:rsidRPr="00C100F9" w:rsidRDefault="002E6794" w:rsidP="002E6794">
      <w:pPr>
        <w:pStyle w:val="FootnoteText"/>
        <w:rPr>
          <w:sz w:val="24"/>
          <w:szCs w:val="24"/>
          <w:rtl/>
        </w:rPr>
      </w:pPr>
      <w:r w:rsidRPr="00C100F9">
        <w:rPr>
          <w:sz w:val="24"/>
          <w:szCs w:val="24"/>
        </w:rPr>
        <w:footnoteRef/>
      </w:r>
      <w:r w:rsidRPr="00C100F9">
        <w:rPr>
          <w:sz w:val="24"/>
          <w:szCs w:val="24"/>
          <w:rtl/>
        </w:rPr>
        <w:t xml:space="preserve"> </w:t>
      </w:r>
      <w:hyperlink r:id="rId20" w:history="1">
        <w:r w:rsidRPr="00C100F9">
          <w:rPr>
            <w:rStyle w:val="Hyperlink"/>
            <w:sz w:val="24"/>
            <w:szCs w:val="24"/>
            <w:rtl/>
          </w:rPr>
          <w:t>الخلاف، الشيخ الطوسي، ج3، ص281.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D" w:rsidRDefault="00BF0B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553DAE">
      <w:rPr>
        <w:sz w:val="20"/>
        <w:szCs w:val="24"/>
        <w:rtl/>
      </w:rPr>
      <w:t>020</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553DAE">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553DAE">
      <w:rPr>
        <w:color w:val="632423" w:themeColor="accent2" w:themeShade="80"/>
        <w:sz w:val="20"/>
        <w:szCs w:val="24"/>
        <w:rtl/>
      </w:rPr>
      <w:t>استاد مرتض</w:t>
    </w:r>
    <w:r w:rsidR="00553DAE">
      <w:rPr>
        <w:rFonts w:hint="cs"/>
        <w:color w:val="632423" w:themeColor="accent2" w:themeShade="80"/>
        <w:sz w:val="20"/>
        <w:szCs w:val="24"/>
        <w:rtl/>
      </w:rPr>
      <w:t>ی</w:t>
    </w:r>
    <w:r w:rsidR="00553DAE">
      <w:rPr>
        <w:color w:val="632423" w:themeColor="accent2" w:themeShade="80"/>
        <w:sz w:val="20"/>
        <w:szCs w:val="24"/>
        <w:rtl/>
      </w:rPr>
      <w:t xml:space="preserve"> مقتدائ</w:t>
    </w:r>
    <w:r w:rsidR="00553DAE">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553DAE">
      <w:rPr>
        <w:sz w:val="24"/>
        <w:szCs w:val="24"/>
        <w:rtl/>
      </w:rPr>
      <w:t>8/8/1400 -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553DAE">
      <w:rPr>
        <w:sz w:val="24"/>
        <w:szCs w:val="24"/>
        <w:rtl/>
      </w:rPr>
      <w:t>عل</w:t>
    </w:r>
    <w:r w:rsidR="00553DAE">
      <w:rPr>
        <w:rFonts w:hint="cs"/>
        <w:sz w:val="24"/>
        <w:szCs w:val="24"/>
        <w:rtl/>
      </w:rPr>
      <w:t>ی</w:t>
    </w:r>
    <w:r w:rsidR="00553DAE">
      <w:rPr>
        <w:sz w:val="24"/>
        <w:szCs w:val="24"/>
        <w:rtl/>
      </w:rPr>
      <w:t xml:space="preserve"> پاشائ</w:t>
    </w:r>
    <w:r w:rsidR="00553DAE">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553DAE">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553DAE">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553DAE">
      <w:rPr>
        <w:sz w:val="24"/>
        <w:szCs w:val="24"/>
        <w:rtl/>
      </w:rPr>
      <w:t>تعر</w:t>
    </w:r>
    <w:r w:rsidR="00553DAE">
      <w:rPr>
        <w:rFonts w:hint="cs"/>
        <w:sz w:val="24"/>
        <w:szCs w:val="24"/>
        <w:rtl/>
      </w:rPr>
      <w:t>یف</w:t>
    </w:r>
    <w:r w:rsidR="00553DAE">
      <w:rPr>
        <w:sz w:val="24"/>
        <w:szCs w:val="24"/>
        <w:rtl/>
      </w:rPr>
      <w:t xml:space="preserve"> بلوغ و علائم آن</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7D" w:rsidRDefault="00BF0B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3676"/>
    <w:rsid w:val="00025777"/>
    <w:rsid w:val="000353D7"/>
    <w:rsid w:val="000415BE"/>
    <w:rsid w:val="00057D42"/>
    <w:rsid w:val="00063513"/>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52992"/>
    <w:rsid w:val="00167163"/>
    <w:rsid w:val="001676A4"/>
    <w:rsid w:val="00172F99"/>
    <w:rsid w:val="001810EB"/>
    <w:rsid w:val="00181844"/>
    <w:rsid w:val="00182A6B"/>
    <w:rsid w:val="001837E9"/>
    <w:rsid w:val="00187DFA"/>
    <w:rsid w:val="001A1EA5"/>
    <w:rsid w:val="001A2574"/>
    <w:rsid w:val="001A27D7"/>
    <w:rsid w:val="001A294E"/>
    <w:rsid w:val="001A4ED8"/>
    <w:rsid w:val="001A4FE7"/>
    <w:rsid w:val="001A53BF"/>
    <w:rsid w:val="001B6799"/>
    <w:rsid w:val="001C1362"/>
    <w:rsid w:val="001C67C3"/>
    <w:rsid w:val="001D0E04"/>
    <w:rsid w:val="001D2073"/>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2E6794"/>
    <w:rsid w:val="00304BDE"/>
    <w:rsid w:val="00316E4A"/>
    <w:rsid w:val="0032100F"/>
    <w:rsid w:val="0033402C"/>
    <w:rsid w:val="00340521"/>
    <w:rsid w:val="003455CB"/>
    <w:rsid w:val="00345C73"/>
    <w:rsid w:val="00350293"/>
    <w:rsid w:val="00354A99"/>
    <w:rsid w:val="00360311"/>
    <w:rsid w:val="00361922"/>
    <w:rsid w:val="003741A5"/>
    <w:rsid w:val="003848D8"/>
    <w:rsid w:val="00397466"/>
    <w:rsid w:val="00397CA1"/>
    <w:rsid w:val="003A6148"/>
    <w:rsid w:val="003A7B42"/>
    <w:rsid w:val="003B623D"/>
    <w:rsid w:val="003B75EC"/>
    <w:rsid w:val="003C33F6"/>
    <w:rsid w:val="003C3D2E"/>
    <w:rsid w:val="003C3F24"/>
    <w:rsid w:val="003C43A5"/>
    <w:rsid w:val="003D3607"/>
    <w:rsid w:val="003E194D"/>
    <w:rsid w:val="003E1C5C"/>
    <w:rsid w:val="003F5B46"/>
    <w:rsid w:val="00401363"/>
    <w:rsid w:val="00402E47"/>
    <w:rsid w:val="00411753"/>
    <w:rsid w:val="00425015"/>
    <w:rsid w:val="00430994"/>
    <w:rsid w:val="00432F69"/>
    <w:rsid w:val="004331F2"/>
    <w:rsid w:val="00441B6D"/>
    <w:rsid w:val="0044343F"/>
    <w:rsid w:val="0045191A"/>
    <w:rsid w:val="00453917"/>
    <w:rsid w:val="004556EF"/>
    <w:rsid w:val="00462B07"/>
    <w:rsid w:val="00465BD2"/>
    <w:rsid w:val="00473729"/>
    <w:rsid w:val="004871AA"/>
    <w:rsid w:val="004926E1"/>
    <w:rsid w:val="004949A0"/>
    <w:rsid w:val="004A2FEA"/>
    <w:rsid w:val="004D75C5"/>
    <w:rsid w:val="004E2186"/>
    <w:rsid w:val="004E66FB"/>
    <w:rsid w:val="004F0D24"/>
    <w:rsid w:val="004F470A"/>
    <w:rsid w:val="004F4C59"/>
    <w:rsid w:val="00500C8F"/>
    <w:rsid w:val="00501909"/>
    <w:rsid w:val="005128DF"/>
    <w:rsid w:val="00515335"/>
    <w:rsid w:val="005206FE"/>
    <w:rsid w:val="005257ED"/>
    <w:rsid w:val="005306F8"/>
    <w:rsid w:val="0054023D"/>
    <w:rsid w:val="00553DAE"/>
    <w:rsid w:val="0056213C"/>
    <w:rsid w:val="00580C24"/>
    <w:rsid w:val="005968EF"/>
    <w:rsid w:val="00596C1E"/>
    <w:rsid w:val="005A2E26"/>
    <w:rsid w:val="005B2964"/>
    <w:rsid w:val="005C0DAE"/>
    <w:rsid w:val="005C188E"/>
    <w:rsid w:val="005C492C"/>
    <w:rsid w:val="005D2349"/>
    <w:rsid w:val="005D3640"/>
    <w:rsid w:val="005E5507"/>
    <w:rsid w:val="005E607B"/>
    <w:rsid w:val="005E623B"/>
    <w:rsid w:val="00600344"/>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29F"/>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558F9"/>
    <w:rsid w:val="00863390"/>
    <w:rsid w:val="0086385C"/>
    <w:rsid w:val="00865D13"/>
    <w:rsid w:val="00871916"/>
    <w:rsid w:val="0088670E"/>
    <w:rsid w:val="008A510E"/>
    <w:rsid w:val="008A522A"/>
    <w:rsid w:val="008B4464"/>
    <w:rsid w:val="008B750B"/>
    <w:rsid w:val="008C3162"/>
    <w:rsid w:val="008D058A"/>
    <w:rsid w:val="008E3924"/>
    <w:rsid w:val="008F13F7"/>
    <w:rsid w:val="008F5B4D"/>
    <w:rsid w:val="009031B0"/>
    <w:rsid w:val="00907425"/>
    <w:rsid w:val="00917F9B"/>
    <w:rsid w:val="009233B2"/>
    <w:rsid w:val="00923C34"/>
    <w:rsid w:val="00924152"/>
    <w:rsid w:val="0092513D"/>
    <w:rsid w:val="00927A9F"/>
    <w:rsid w:val="009335CC"/>
    <w:rsid w:val="00935A55"/>
    <w:rsid w:val="00941CEB"/>
    <w:rsid w:val="00953B28"/>
    <w:rsid w:val="00954322"/>
    <w:rsid w:val="00957CAA"/>
    <w:rsid w:val="0096778A"/>
    <w:rsid w:val="009703F2"/>
    <w:rsid w:val="00976921"/>
    <w:rsid w:val="00977656"/>
    <w:rsid w:val="00985FCA"/>
    <w:rsid w:val="0098794D"/>
    <w:rsid w:val="0099497B"/>
    <w:rsid w:val="009A18C6"/>
    <w:rsid w:val="009B0D05"/>
    <w:rsid w:val="009B2E7B"/>
    <w:rsid w:val="009B4CA6"/>
    <w:rsid w:val="009B79F8"/>
    <w:rsid w:val="009D13FD"/>
    <w:rsid w:val="009D266A"/>
    <w:rsid w:val="009F7E07"/>
    <w:rsid w:val="00A023EC"/>
    <w:rsid w:val="00A10A11"/>
    <w:rsid w:val="00A13C6A"/>
    <w:rsid w:val="00A17B09"/>
    <w:rsid w:val="00A41B89"/>
    <w:rsid w:val="00A457C6"/>
    <w:rsid w:val="00A46AD0"/>
    <w:rsid w:val="00A47063"/>
    <w:rsid w:val="00A47208"/>
    <w:rsid w:val="00A473A8"/>
    <w:rsid w:val="00A51AF3"/>
    <w:rsid w:val="00A61AC8"/>
    <w:rsid w:val="00A65D4C"/>
    <w:rsid w:val="00A75F04"/>
    <w:rsid w:val="00AA1BF3"/>
    <w:rsid w:val="00AA40D7"/>
    <w:rsid w:val="00AB0C79"/>
    <w:rsid w:val="00AB5F7D"/>
    <w:rsid w:val="00AB6F5F"/>
    <w:rsid w:val="00AB77F4"/>
    <w:rsid w:val="00AC0C50"/>
    <w:rsid w:val="00AC4412"/>
    <w:rsid w:val="00AC6FE2"/>
    <w:rsid w:val="00AD53AC"/>
    <w:rsid w:val="00AE5A65"/>
    <w:rsid w:val="00AF3925"/>
    <w:rsid w:val="00B011DA"/>
    <w:rsid w:val="00B07A88"/>
    <w:rsid w:val="00B2292F"/>
    <w:rsid w:val="00B27399"/>
    <w:rsid w:val="00B43169"/>
    <w:rsid w:val="00B445D6"/>
    <w:rsid w:val="00B55AE4"/>
    <w:rsid w:val="00B739B0"/>
    <w:rsid w:val="00B814A3"/>
    <w:rsid w:val="00B900CE"/>
    <w:rsid w:val="00B93C98"/>
    <w:rsid w:val="00B96F38"/>
    <w:rsid w:val="00BB680E"/>
    <w:rsid w:val="00BD0E74"/>
    <w:rsid w:val="00BD5F8C"/>
    <w:rsid w:val="00BE0D9D"/>
    <w:rsid w:val="00BE29DD"/>
    <w:rsid w:val="00BE571F"/>
    <w:rsid w:val="00BF0B7D"/>
    <w:rsid w:val="00C00F50"/>
    <w:rsid w:val="00C066AF"/>
    <w:rsid w:val="00C100F9"/>
    <w:rsid w:val="00C10E06"/>
    <w:rsid w:val="00C145B8"/>
    <w:rsid w:val="00C2438F"/>
    <w:rsid w:val="00C2579C"/>
    <w:rsid w:val="00C31263"/>
    <w:rsid w:val="00C32A7E"/>
    <w:rsid w:val="00C34F28"/>
    <w:rsid w:val="00C368DF"/>
    <w:rsid w:val="00C55E58"/>
    <w:rsid w:val="00C57B5C"/>
    <w:rsid w:val="00C61049"/>
    <w:rsid w:val="00C63FFE"/>
    <w:rsid w:val="00C800C2"/>
    <w:rsid w:val="00C91EB6"/>
    <w:rsid w:val="00C92EA5"/>
    <w:rsid w:val="00C93033"/>
    <w:rsid w:val="00CA10B0"/>
    <w:rsid w:val="00CA1C58"/>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A5E84"/>
    <w:rsid w:val="00DB0CBB"/>
    <w:rsid w:val="00DB67CC"/>
    <w:rsid w:val="00DC00B3"/>
    <w:rsid w:val="00DD7EE4"/>
    <w:rsid w:val="00DE1070"/>
    <w:rsid w:val="00DF5346"/>
    <w:rsid w:val="00E00219"/>
    <w:rsid w:val="00E0316B"/>
    <w:rsid w:val="00E139AB"/>
    <w:rsid w:val="00E14666"/>
    <w:rsid w:val="00E167FB"/>
    <w:rsid w:val="00E228FB"/>
    <w:rsid w:val="00E25520"/>
    <w:rsid w:val="00E25E10"/>
    <w:rsid w:val="00E33003"/>
    <w:rsid w:val="00E5219B"/>
    <w:rsid w:val="00E5518B"/>
    <w:rsid w:val="00E609FE"/>
    <w:rsid w:val="00E75920"/>
    <w:rsid w:val="00E76248"/>
    <w:rsid w:val="00E80D96"/>
    <w:rsid w:val="00E871FA"/>
    <w:rsid w:val="00E936A4"/>
    <w:rsid w:val="00E954BB"/>
    <w:rsid w:val="00EA28AA"/>
    <w:rsid w:val="00EA361F"/>
    <w:rsid w:val="00EA45E7"/>
    <w:rsid w:val="00EB4FA9"/>
    <w:rsid w:val="00EB78E3"/>
    <w:rsid w:val="00EC1C4B"/>
    <w:rsid w:val="00EC2D8D"/>
    <w:rsid w:val="00EC735A"/>
    <w:rsid w:val="00EF27FE"/>
    <w:rsid w:val="00F07FB6"/>
    <w:rsid w:val="00F10486"/>
    <w:rsid w:val="00F14262"/>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1E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AB6F5F"/>
    <w:rPr>
      <w:color w:val="605E5C"/>
      <w:shd w:val="clear" w:color="auto" w:fill="E1DFDD"/>
    </w:rPr>
  </w:style>
  <w:style w:type="character" w:styleId="FollowedHyperlink">
    <w:name w:val="FollowedHyperlink"/>
    <w:basedOn w:val="DefaultParagraphFont"/>
    <w:uiPriority w:val="99"/>
    <w:semiHidden/>
    <w:unhideWhenUsed/>
    <w:rsid w:val="00AB6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313/1/450/105" TargetMode="External"/><Relationship Id="rId13" Type="http://schemas.openxmlformats.org/officeDocument/2006/relationships/hyperlink" Target="http://lib.eshia.ir/71559/5/431/&#1575;&#1604;&#1605;&#1588;&#1607;&#1608;&#1585;" TargetMode="External"/><Relationship Id="rId18" Type="http://schemas.openxmlformats.org/officeDocument/2006/relationships/hyperlink" Target="http://lib.eshia.ir//17001/1/77/6" TargetMode="External"/><Relationship Id="rId3" Type="http://schemas.openxmlformats.org/officeDocument/2006/relationships/hyperlink" Target="http://lib.eshia.ir//17001/1/450/103" TargetMode="External"/><Relationship Id="rId7" Type="http://schemas.openxmlformats.org/officeDocument/2006/relationships/hyperlink" Target="http://lib.eshia.ir//17001/1/450/105" TargetMode="External"/><Relationship Id="rId12" Type="http://schemas.openxmlformats.org/officeDocument/2006/relationships/hyperlink" Target="http://lib.eshia.ir/10015/3/282/&#1740;&#1585;&#1575;&#1593;&#1740;" TargetMode="External"/><Relationship Id="rId17" Type="http://schemas.openxmlformats.org/officeDocument/2006/relationships/hyperlink" Target="http://lib.eshia.ir/11025/1/43/&#1575;&#1604;&#1594;&#1604;&#1575;&#1605;" TargetMode="External"/><Relationship Id="rId2" Type="http://schemas.openxmlformats.org/officeDocument/2006/relationships/hyperlink" Target="http://lib.eshia.ir/10313/1/449/102" TargetMode="External"/><Relationship Id="rId16" Type="http://schemas.openxmlformats.org/officeDocument/2006/relationships/hyperlink" Target="http://lib.eshia.ir/10015/3/283/&#1593;&#1585;&#1590;&#1578;" TargetMode="External"/><Relationship Id="rId20" Type="http://schemas.openxmlformats.org/officeDocument/2006/relationships/hyperlink" Target="http://lib.eshia.ir/10015/3/281/&#1605;&#1593;&#1575;&#1584;" TargetMode="External"/><Relationship Id="rId1" Type="http://schemas.openxmlformats.org/officeDocument/2006/relationships/hyperlink" Target="http://lib.eshia.ir//17001/1/449/102" TargetMode="External"/><Relationship Id="rId6" Type="http://schemas.openxmlformats.org/officeDocument/2006/relationships/hyperlink" Target="http://lib.eshia.ir/10313/1/450/104" TargetMode="External"/><Relationship Id="rId11" Type="http://schemas.openxmlformats.org/officeDocument/2006/relationships/hyperlink" Target="http://lib.eshia.ir/10088/26/21/&#1608;&#1575;&#1604;&#1605;&#1589;&#1576;&#1575;&#1581;" TargetMode="External"/><Relationship Id="rId5" Type="http://schemas.openxmlformats.org/officeDocument/2006/relationships/hyperlink" Target="http://lib.eshia.ir//17001/1/450/104" TargetMode="External"/><Relationship Id="rId15" Type="http://schemas.openxmlformats.org/officeDocument/2006/relationships/hyperlink" Target="http://lib.eshia.ir/10015/3/283/&#1571;&#1606;&#1587;" TargetMode="External"/><Relationship Id="rId10" Type="http://schemas.openxmlformats.org/officeDocument/2006/relationships/hyperlink" Target="http://lib.eshia.ir/10313/1/450/106" TargetMode="External"/><Relationship Id="rId19" Type="http://schemas.openxmlformats.org/officeDocument/2006/relationships/hyperlink" Target="http://lib.eshia.ir/10313/1/77/6" TargetMode="External"/><Relationship Id="rId4" Type="http://schemas.openxmlformats.org/officeDocument/2006/relationships/hyperlink" Target="http://lib.eshia.ir/10313/1/450/103" TargetMode="External"/><Relationship Id="rId9" Type="http://schemas.openxmlformats.org/officeDocument/2006/relationships/hyperlink" Target="http://lib.eshia.ir//17001/1/450/106" TargetMode="External"/><Relationship Id="rId14" Type="http://schemas.openxmlformats.org/officeDocument/2006/relationships/hyperlink" Target="http://lib.eshia.ir/71559/5/432/&#1604;&#1578;&#1587;&#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FDB3-A15D-4D2C-83C3-F091B6AD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504</TotalTime>
  <Pages>8</Pages>
  <Words>2316</Words>
  <Characters>9384</Characters>
  <Application>Microsoft Office Word</Application>
  <DocSecurity>0</DocSecurity>
  <Lines>108</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11725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samin</cp:lastModifiedBy>
  <cp:revision>16</cp:revision>
  <dcterms:created xsi:type="dcterms:W3CDTF">2021-11-22T03:52:00Z</dcterms:created>
  <dcterms:modified xsi:type="dcterms:W3CDTF">2021-12-04T15:31:00Z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14000808</vt:lpwstr>
  </property>
  <property fmtid="{D5CDD505-2E9C-101B-9397-08002B2CF9AE}" pid="6" name="SpecialTopic">
    <vt:lpwstr>تعریف بلوغ و علائم آن</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020</vt:lpwstr>
  </property>
  <property fmtid="{D5CDD505-2E9C-101B-9397-08002B2CF9AE}" pid="10" name="Day">
    <vt:lpwstr>شنبه</vt:lpwstr>
  </property>
</Properties>
</file>