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42D8F3" w14:textId="77777777" w:rsidR="00901208" w:rsidRPr="00C27AEE" w:rsidRDefault="00901208" w:rsidP="00901208">
      <w:pPr>
        <w:widowControl w:val="0"/>
        <w:bidi/>
        <w:spacing w:after="0" w:line="250" w:lineRule="auto"/>
        <w:jc w:val="center"/>
        <w:rPr>
          <w:rFonts w:cs="QuranTaha"/>
          <w:sz w:val="28"/>
          <w:szCs w:val="28"/>
          <w:rtl/>
          <w:lang w:bidi="fa-IR"/>
        </w:rPr>
      </w:pPr>
      <w:r w:rsidRPr="00C27AEE">
        <w:rPr>
          <w:rFonts w:cs="QuranTaha"/>
          <w:sz w:val="28"/>
          <w:szCs w:val="28"/>
          <w:rtl/>
          <w:lang w:bidi="fa-IR"/>
        </w:rPr>
        <w:t>بِسْمِ اللَّهِ الرَّحْم</w:t>
      </w:r>
      <w:r w:rsidRPr="00C27AEE">
        <w:rPr>
          <w:rFonts w:ascii="Times New Roman" w:hAnsi="Times New Roman" w:cs="QuranTaha" w:hint="cs"/>
          <w:sz w:val="28"/>
          <w:szCs w:val="28"/>
          <w:rtl/>
          <w:lang w:bidi="fa-IR"/>
        </w:rPr>
        <w:t>ٰ</w:t>
      </w:r>
      <w:r w:rsidRPr="00C27AEE">
        <w:rPr>
          <w:rFonts w:cs="QuranTaha" w:hint="cs"/>
          <w:sz w:val="28"/>
          <w:szCs w:val="28"/>
          <w:rtl/>
          <w:lang w:bidi="fa-IR"/>
        </w:rPr>
        <w:t>نِ</w:t>
      </w:r>
      <w:r w:rsidRPr="00C27AEE">
        <w:rPr>
          <w:rFonts w:cs="QuranTaha"/>
          <w:sz w:val="28"/>
          <w:szCs w:val="28"/>
          <w:rtl/>
          <w:lang w:bidi="fa-IR"/>
        </w:rPr>
        <w:t xml:space="preserve"> </w:t>
      </w:r>
      <w:r w:rsidRPr="00C27AEE">
        <w:rPr>
          <w:rFonts w:cs="QuranTaha" w:hint="cs"/>
          <w:sz w:val="28"/>
          <w:szCs w:val="28"/>
          <w:rtl/>
          <w:lang w:bidi="fa-IR"/>
        </w:rPr>
        <w:t>الرَّحِيم</w:t>
      </w:r>
      <w:r w:rsidRPr="00C27AEE">
        <w:rPr>
          <w:rFonts w:cs="QuranTaha"/>
          <w:sz w:val="28"/>
          <w:szCs w:val="28"/>
          <w:rtl/>
          <w:lang w:bidi="fa-IR"/>
        </w:rPr>
        <w:t>ِ</w:t>
      </w:r>
    </w:p>
    <w:p w14:paraId="0B6C1856" w14:textId="188C84D4" w:rsidR="002A09CF" w:rsidRDefault="002A09CF" w:rsidP="002A09CF">
      <w:pPr>
        <w:widowControl w:val="0"/>
        <w:bidi/>
        <w:spacing w:after="0" w:line="250" w:lineRule="auto"/>
        <w:jc w:val="center"/>
        <w:rPr>
          <w:rFonts w:cs="B Mitra"/>
          <w:b/>
          <w:bCs/>
          <w:sz w:val="32"/>
          <w:szCs w:val="32"/>
          <w:rtl/>
          <w:lang w:bidi="fa-IR"/>
        </w:rPr>
      </w:pPr>
      <w:r>
        <w:rPr>
          <w:rFonts w:cs="B Mitra" w:hint="cs"/>
          <w:b/>
          <w:bCs/>
          <w:sz w:val="32"/>
          <w:szCs w:val="32"/>
          <w:rtl/>
          <w:lang w:bidi="fa-IR"/>
        </w:rPr>
        <w:t>تقریر بحث فقه</w:t>
      </w:r>
    </w:p>
    <w:p w14:paraId="0989D30C" w14:textId="53EFE475" w:rsidR="00901208" w:rsidRDefault="00901208" w:rsidP="002A09CF">
      <w:pPr>
        <w:widowControl w:val="0"/>
        <w:bidi/>
        <w:spacing w:after="240" w:line="250" w:lineRule="auto"/>
        <w:jc w:val="center"/>
        <w:rPr>
          <w:rFonts w:cs="B Mitra"/>
          <w:b/>
          <w:bCs/>
          <w:sz w:val="32"/>
          <w:szCs w:val="32"/>
          <w:rtl/>
          <w:lang w:bidi="fa-IR"/>
        </w:rPr>
      </w:pPr>
      <w:r>
        <w:rPr>
          <w:rFonts w:cs="B Mitra" w:hint="cs"/>
          <w:b/>
          <w:bCs/>
          <w:sz w:val="32"/>
          <w:szCs w:val="32"/>
          <w:rtl/>
          <w:lang w:bidi="fa-IR"/>
        </w:rPr>
        <w:t xml:space="preserve">جلسه </w:t>
      </w:r>
      <w:r w:rsidR="00FC64C4">
        <w:rPr>
          <w:rFonts w:cs="B Mitra" w:hint="cs"/>
          <w:b/>
          <w:bCs/>
          <w:sz w:val="32"/>
          <w:szCs w:val="32"/>
          <w:rtl/>
          <w:lang w:bidi="fa-IR"/>
        </w:rPr>
        <w:t>5</w:t>
      </w:r>
      <w:r w:rsidR="00142696">
        <w:rPr>
          <w:rFonts w:cs="B Mitra" w:hint="cs"/>
          <w:b/>
          <w:bCs/>
          <w:sz w:val="32"/>
          <w:szCs w:val="32"/>
          <w:rtl/>
          <w:lang w:bidi="fa-IR"/>
        </w:rPr>
        <w:t>1</w:t>
      </w:r>
      <w:r w:rsidR="00117D7D">
        <w:rPr>
          <w:rFonts w:cs="B Mitra" w:hint="cs"/>
          <w:b/>
          <w:bCs/>
          <w:sz w:val="32"/>
          <w:szCs w:val="32"/>
          <w:rtl/>
          <w:lang w:bidi="fa-IR"/>
        </w:rPr>
        <w:t>2</w:t>
      </w:r>
    </w:p>
    <w:p w14:paraId="535A35E0" w14:textId="77777777" w:rsidR="0003525A" w:rsidRDefault="0003525A" w:rsidP="0003525A">
      <w:pPr>
        <w:widowControl w:val="0"/>
        <w:bidi/>
        <w:spacing w:after="360"/>
        <w:ind w:left="1701" w:firstLine="284"/>
        <w:jc w:val="both"/>
        <w:rPr>
          <w:rFonts w:cs="Abz-2 (Badr)"/>
          <w:b/>
          <w:bCs/>
          <w:sz w:val="28"/>
          <w:szCs w:val="28"/>
          <w:rtl/>
          <w:lang w:bidi="fa-IR"/>
        </w:rPr>
      </w:pPr>
      <w:bookmarkStart w:id="0" w:name="_Hlk117452648"/>
      <w:bookmarkStart w:id="1" w:name="_Hlk117414211"/>
      <w:r>
        <w:rPr>
          <w:rFonts w:cs="Abz-2 (Badr)" w:hint="cs"/>
          <w:b/>
          <w:bCs/>
          <w:sz w:val="28"/>
          <w:szCs w:val="28"/>
          <w:rtl/>
          <w:lang w:bidi="fa-IR"/>
        </w:rPr>
        <w:t>قال المحقّق الحلّي: «</w:t>
      </w:r>
      <w:r w:rsidRPr="0010646C">
        <w:rPr>
          <w:rFonts w:cs="Abz-2 (Badr)"/>
          <w:b/>
          <w:bCs/>
          <w:sz w:val="28"/>
          <w:szCs w:val="28"/>
          <w:rtl/>
          <w:lang w:bidi="fa-IR"/>
        </w:rPr>
        <w:t>الخامسة</w:t>
      </w:r>
      <w:r>
        <w:rPr>
          <w:rFonts w:cs="Abz-2 (Badr)" w:hint="cs"/>
          <w:b/>
          <w:bCs/>
          <w:sz w:val="28"/>
          <w:szCs w:val="28"/>
          <w:rtl/>
          <w:lang w:bidi="fa-IR"/>
        </w:rPr>
        <w:t xml:space="preserve">: </w:t>
      </w:r>
      <w:r w:rsidRPr="0010646C">
        <w:rPr>
          <w:rFonts w:cs="Abz-2 (Badr)"/>
          <w:b/>
          <w:bCs/>
          <w:sz w:val="28"/>
          <w:szCs w:val="28"/>
          <w:rtl/>
          <w:lang w:bidi="fa-IR"/>
        </w:rPr>
        <w:t>إذا تزو</w:t>
      </w:r>
      <w:r>
        <w:rPr>
          <w:rFonts w:cs="Abz-2 (Badr)" w:hint="cs"/>
          <w:b/>
          <w:bCs/>
          <w:sz w:val="28"/>
          <w:szCs w:val="28"/>
          <w:rtl/>
          <w:lang w:bidi="fa-IR"/>
        </w:rPr>
        <w:t>ّ</w:t>
      </w:r>
      <w:r w:rsidRPr="0010646C">
        <w:rPr>
          <w:rFonts w:cs="Abz-2 (Badr)"/>
          <w:b/>
          <w:bCs/>
          <w:sz w:val="28"/>
          <w:szCs w:val="28"/>
          <w:rtl/>
          <w:lang w:bidi="fa-IR"/>
        </w:rPr>
        <w:t>ج امرأة وشرط كونها بكرا</w:t>
      </w:r>
      <w:r>
        <w:rPr>
          <w:rFonts w:cs="Abz-2 (Badr)" w:hint="cs"/>
          <w:b/>
          <w:bCs/>
          <w:sz w:val="28"/>
          <w:szCs w:val="28"/>
          <w:rtl/>
          <w:lang w:bidi="fa-IR"/>
        </w:rPr>
        <w:t>ً</w:t>
      </w:r>
      <w:r w:rsidRPr="0010646C">
        <w:rPr>
          <w:rFonts w:cs="Abz-2 (Badr)"/>
          <w:b/>
          <w:bCs/>
          <w:sz w:val="28"/>
          <w:szCs w:val="28"/>
          <w:rtl/>
          <w:lang w:bidi="fa-IR"/>
        </w:rPr>
        <w:t xml:space="preserve"> فوجدها ثي</w:t>
      </w:r>
      <w:r>
        <w:rPr>
          <w:rFonts w:cs="Abz-2 (Badr)" w:hint="cs"/>
          <w:b/>
          <w:bCs/>
          <w:sz w:val="28"/>
          <w:szCs w:val="28"/>
          <w:rtl/>
          <w:lang w:bidi="fa-IR"/>
        </w:rPr>
        <w:t>ّ</w:t>
      </w:r>
      <w:r w:rsidRPr="0010646C">
        <w:rPr>
          <w:rFonts w:cs="Abz-2 (Badr)"/>
          <w:b/>
          <w:bCs/>
          <w:sz w:val="28"/>
          <w:szCs w:val="28"/>
          <w:rtl/>
          <w:lang w:bidi="fa-IR"/>
        </w:rPr>
        <w:t>با</w:t>
      </w:r>
      <w:r>
        <w:rPr>
          <w:rFonts w:cs="Abz-2 (Badr)" w:hint="cs"/>
          <w:b/>
          <w:bCs/>
          <w:sz w:val="28"/>
          <w:szCs w:val="28"/>
          <w:rtl/>
          <w:lang w:bidi="fa-IR"/>
        </w:rPr>
        <w:t>ً،</w:t>
      </w:r>
      <w:r w:rsidRPr="0010646C">
        <w:rPr>
          <w:rFonts w:cs="Abz-2 (Badr)"/>
          <w:b/>
          <w:bCs/>
          <w:sz w:val="28"/>
          <w:szCs w:val="28"/>
          <w:rtl/>
          <w:lang w:bidi="fa-IR"/>
        </w:rPr>
        <w:t xml:space="preserve"> لم يكن له الفسخ</w:t>
      </w:r>
      <w:r>
        <w:rPr>
          <w:rFonts w:cs="Abz-2 (Badr)" w:hint="cs"/>
          <w:b/>
          <w:bCs/>
          <w:sz w:val="28"/>
          <w:szCs w:val="28"/>
          <w:rtl/>
          <w:lang w:bidi="fa-IR"/>
        </w:rPr>
        <w:t>،</w:t>
      </w:r>
      <w:r w:rsidRPr="0010646C">
        <w:rPr>
          <w:rFonts w:cs="Abz-2 (Badr)"/>
          <w:b/>
          <w:bCs/>
          <w:sz w:val="28"/>
          <w:szCs w:val="28"/>
          <w:rtl/>
          <w:lang w:bidi="fa-IR"/>
        </w:rPr>
        <w:t xml:space="preserve"> لإمكان تجد</w:t>
      </w:r>
      <w:r>
        <w:rPr>
          <w:rFonts w:cs="Abz-2 (Badr)" w:hint="cs"/>
          <w:b/>
          <w:bCs/>
          <w:sz w:val="28"/>
          <w:szCs w:val="28"/>
          <w:rtl/>
          <w:lang w:bidi="fa-IR"/>
        </w:rPr>
        <w:t>ّ</w:t>
      </w:r>
      <w:r w:rsidRPr="0010646C">
        <w:rPr>
          <w:rFonts w:cs="Abz-2 (Badr)"/>
          <w:b/>
          <w:bCs/>
          <w:sz w:val="28"/>
          <w:szCs w:val="28"/>
          <w:rtl/>
          <w:lang w:bidi="fa-IR"/>
        </w:rPr>
        <w:t>ده بسبب خفي</w:t>
      </w:r>
      <w:r>
        <w:rPr>
          <w:rFonts w:cs="Abz-2 (Badr)" w:hint="cs"/>
          <w:b/>
          <w:bCs/>
          <w:sz w:val="28"/>
          <w:szCs w:val="28"/>
          <w:rtl/>
          <w:lang w:bidi="fa-IR"/>
        </w:rPr>
        <w:t>ّ،</w:t>
      </w:r>
      <w:r w:rsidRPr="0010646C">
        <w:rPr>
          <w:rFonts w:cs="Abz-2 (Badr)"/>
          <w:b/>
          <w:bCs/>
          <w:sz w:val="28"/>
          <w:szCs w:val="28"/>
          <w:rtl/>
          <w:lang w:bidi="fa-IR"/>
        </w:rPr>
        <w:t xml:space="preserve"> وكان له أن ينقص من مهرها ما بين مهر البكر والثي</w:t>
      </w:r>
      <w:r>
        <w:rPr>
          <w:rFonts w:cs="Abz-2 (Badr)" w:hint="cs"/>
          <w:b/>
          <w:bCs/>
          <w:sz w:val="28"/>
          <w:szCs w:val="28"/>
          <w:rtl/>
          <w:lang w:bidi="fa-IR"/>
        </w:rPr>
        <w:t>ّ</w:t>
      </w:r>
      <w:r w:rsidRPr="0010646C">
        <w:rPr>
          <w:rFonts w:cs="Abz-2 (Badr)"/>
          <w:b/>
          <w:bCs/>
          <w:sz w:val="28"/>
          <w:szCs w:val="28"/>
          <w:rtl/>
          <w:lang w:bidi="fa-IR"/>
        </w:rPr>
        <w:t>ب</w:t>
      </w:r>
      <w:r>
        <w:rPr>
          <w:rFonts w:cs="Abz-2 (Badr)" w:hint="cs"/>
          <w:b/>
          <w:bCs/>
          <w:sz w:val="28"/>
          <w:szCs w:val="28"/>
          <w:rtl/>
          <w:lang w:bidi="fa-IR"/>
        </w:rPr>
        <w:t>،</w:t>
      </w:r>
      <w:r w:rsidRPr="0010646C">
        <w:rPr>
          <w:rFonts w:cs="Abz-2 (Badr)"/>
          <w:b/>
          <w:bCs/>
          <w:sz w:val="28"/>
          <w:szCs w:val="28"/>
          <w:rtl/>
          <w:lang w:bidi="fa-IR"/>
        </w:rPr>
        <w:t xml:space="preserve"> ويرجع فيه إلى العادة</w:t>
      </w:r>
      <w:r>
        <w:rPr>
          <w:rFonts w:cs="Abz-2 (Badr)" w:hint="cs"/>
          <w:b/>
          <w:bCs/>
          <w:sz w:val="28"/>
          <w:szCs w:val="28"/>
          <w:rtl/>
          <w:lang w:bidi="fa-IR"/>
        </w:rPr>
        <w:t>.</w:t>
      </w:r>
      <w:r w:rsidRPr="0010646C">
        <w:rPr>
          <w:rFonts w:cs="Abz-2 (Badr)"/>
          <w:b/>
          <w:bCs/>
          <w:sz w:val="28"/>
          <w:szCs w:val="28"/>
          <w:rtl/>
          <w:lang w:bidi="fa-IR"/>
        </w:rPr>
        <w:t xml:space="preserve"> وقيل</w:t>
      </w:r>
      <w:r>
        <w:rPr>
          <w:rFonts w:cs="Abz-2 (Badr)" w:hint="cs"/>
          <w:b/>
          <w:bCs/>
          <w:sz w:val="28"/>
          <w:szCs w:val="28"/>
          <w:rtl/>
          <w:lang w:bidi="fa-IR"/>
        </w:rPr>
        <w:t>:</w:t>
      </w:r>
      <w:r w:rsidRPr="0010646C">
        <w:rPr>
          <w:rFonts w:cs="Abz-2 (Badr)"/>
          <w:b/>
          <w:bCs/>
          <w:sz w:val="28"/>
          <w:szCs w:val="28"/>
          <w:rtl/>
          <w:lang w:bidi="fa-IR"/>
        </w:rPr>
        <w:t xml:space="preserve"> ينقص السدس</w:t>
      </w:r>
      <w:r>
        <w:rPr>
          <w:rFonts w:cs="Abz-2 (Badr)" w:hint="cs"/>
          <w:b/>
          <w:bCs/>
          <w:sz w:val="28"/>
          <w:szCs w:val="28"/>
          <w:rtl/>
          <w:lang w:bidi="fa-IR"/>
        </w:rPr>
        <w:t>،</w:t>
      </w:r>
      <w:r w:rsidRPr="0010646C">
        <w:rPr>
          <w:rFonts w:cs="Abz-2 (Badr)"/>
          <w:b/>
          <w:bCs/>
          <w:sz w:val="28"/>
          <w:szCs w:val="28"/>
          <w:rtl/>
          <w:lang w:bidi="fa-IR"/>
        </w:rPr>
        <w:t xml:space="preserve"> وهو غلط.</w:t>
      </w:r>
      <w:r>
        <w:rPr>
          <w:rFonts w:cs="Abz-2 (Badr)" w:hint="cs"/>
          <w:b/>
          <w:bCs/>
          <w:sz w:val="28"/>
          <w:szCs w:val="28"/>
          <w:rtl/>
          <w:lang w:bidi="fa-IR"/>
        </w:rPr>
        <w:t>»</w:t>
      </w:r>
      <w:r w:rsidRPr="002D27AB">
        <w:rPr>
          <w:rStyle w:val="FootnoteReference"/>
          <w:rFonts w:cs="Abz-2 (Badr)"/>
          <w:sz w:val="28"/>
          <w:szCs w:val="28"/>
          <w:rtl/>
          <w:lang w:bidi="fa-IR"/>
        </w:rPr>
        <w:footnoteReference w:id="1"/>
      </w:r>
    </w:p>
    <w:p w14:paraId="46D1C46A" w14:textId="77777777" w:rsidR="0003525A" w:rsidRDefault="0003525A" w:rsidP="0003525A">
      <w:pPr>
        <w:widowControl w:val="0"/>
        <w:bidi/>
        <w:spacing w:after="0"/>
        <w:ind w:firstLine="284"/>
        <w:jc w:val="both"/>
        <w:rPr>
          <w:rFonts w:cs="Abz-2 (Badr)"/>
          <w:color w:val="000000" w:themeColor="text1"/>
          <w:sz w:val="28"/>
          <w:szCs w:val="28"/>
          <w:rtl/>
          <w:lang w:bidi="fa-IR"/>
        </w:rPr>
      </w:pP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مسائل سوم و چهارم مربوط به عبد و امه بوده و نکته تازه</w:t>
      </w:r>
      <w:r>
        <w:rPr>
          <w:rFonts w:cs="Abz-2 (Badr)"/>
          <w:color w:val="000000" w:themeColor="text1"/>
          <w:sz w:val="28"/>
          <w:szCs w:val="28"/>
          <w:rtl/>
          <w:lang w:bidi="fa-IR"/>
        </w:rPr>
        <w:softHyphen/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ای در آنها وجود ندارد، فلذا از ذکر آنها اجتناب می</w:t>
      </w:r>
      <w:r>
        <w:rPr>
          <w:rFonts w:cs="Abz-2 (Badr)"/>
          <w:color w:val="000000" w:themeColor="text1"/>
          <w:sz w:val="28"/>
          <w:szCs w:val="28"/>
          <w:rtl/>
          <w:lang w:bidi="fa-IR"/>
        </w:rPr>
        <w:softHyphen/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کنيم.</w:t>
      </w:r>
    </w:p>
    <w:p w14:paraId="786901E0" w14:textId="77777777" w:rsidR="0003525A" w:rsidRDefault="0003525A" w:rsidP="0003525A">
      <w:pPr>
        <w:widowControl w:val="0"/>
        <w:bidi/>
        <w:spacing w:after="0"/>
        <w:ind w:firstLine="284"/>
        <w:jc w:val="both"/>
        <w:rPr>
          <w:rFonts w:cs="Abz-2 (Badr)"/>
          <w:color w:val="000000" w:themeColor="text1"/>
          <w:sz w:val="28"/>
          <w:szCs w:val="28"/>
          <w:rtl/>
          <w:lang w:bidi="fa-IR"/>
        </w:rPr>
      </w:pP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اما مسأله پنجم مسأله مهمی است که محل ابتلاء در اين زمان نيز هست.</w:t>
      </w:r>
    </w:p>
    <w:p w14:paraId="6F79F9BD" w14:textId="77777777" w:rsidR="0003525A" w:rsidRDefault="0003525A" w:rsidP="0003525A">
      <w:pPr>
        <w:widowControl w:val="0"/>
        <w:bidi/>
        <w:spacing w:after="0"/>
        <w:ind w:firstLine="284"/>
        <w:jc w:val="both"/>
        <w:rPr>
          <w:rFonts w:cs="Abz-2 (Badr)"/>
          <w:color w:val="000000" w:themeColor="text1"/>
          <w:sz w:val="28"/>
          <w:szCs w:val="28"/>
          <w:rtl/>
          <w:lang w:bidi="fa-IR"/>
        </w:rPr>
      </w:pP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برای تحقيق مسأله ابتدا بايد معنای بکر و ثيّب را مورد بررسی و مداقّه قرار دهيم.</w:t>
      </w:r>
    </w:p>
    <w:p w14:paraId="356EC22B" w14:textId="77777777" w:rsidR="0003525A" w:rsidRDefault="0003525A" w:rsidP="0003525A">
      <w:pPr>
        <w:widowControl w:val="0"/>
        <w:bidi/>
        <w:spacing w:after="0"/>
        <w:ind w:firstLine="284"/>
        <w:jc w:val="both"/>
        <w:rPr>
          <w:rFonts w:cs="Abz-2 (Badr)"/>
          <w:color w:val="000000" w:themeColor="text1"/>
          <w:sz w:val="28"/>
          <w:szCs w:val="28"/>
          <w:rtl/>
          <w:lang w:bidi="fa-IR"/>
        </w:rPr>
      </w:pP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قال الخليل في کتاب العين: «</w:t>
      </w:r>
      <w:r w:rsidRPr="00914FA3">
        <w:rPr>
          <w:rFonts w:cs="Abz-2 (Badr)"/>
          <w:color w:val="000000" w:themeColor="text1"/>
          <w:sz w:val="28"/>
          <w:szCs w:val="28"/>
          <w:rtl/>
          <w:lang w:bidi="fa-IR"/>
        </w:rPr>
        <w:t>البكر</w:t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:</w:t>
      </w:r>
      <w:r w:rsidRPr="00914FA3">
        <w:rPr>
          <w:rFonts w:cs="Abz-2 (Badr)"/>
          <w:color w:val="000000" w:themeColor="text1"/>
          <w:sz w:val="28"/>
          <w:szCs w:val="28"/>
          <w:rtl/>
          <w:lang w:bidi="fa-IR"/>
        </w:rPr>
        <w:t xml:space="preserve"> التي لم ت</w:t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ُ</w:t>
      </w:r>
      <w:r w:rsidRPr="00914FA3">
        <w:rPr>
          <w:rFonts w:cs="Abz-2 (Badr)"/>
          <w:color w:val="000000" w:themeColor="text1"/>
          <w:sz w:val="28"/>
          <w:szCs w:val="28"/>
          <w:rtl/>
          <w:lang w:bidi="fa-IR"/>
        </w:rPr>
        <w:t>مس</w:t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ّ</w:t>
      </w:r>
      <w:r w:rsidRPr="00914FA3">
        <w:rPr>
          <w:rFonts w:cs="Abz-2 (Badr)"/>
          <w:color w:val="000000" w:themeColor="text1"/>
          <w:sz w:val="28"/>
          <w:szCs w:val="28"/>
          <w:rtl/>
          <w:lang w:bidi="fa-IR"/>
        </w:rPr>
        <w:t xml:space="preserve"> من النساء بعد</w:t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...</w:t>
      </w:r>
      <w:r w:rsidRPr="00914FA3">
        <w:rPr>
          <w:rFonts w:cs="Abz-2 (Badr)"/>
          <w:color w:val="000000" w:themeColor="text1"/>
          <w:sz w:val="28"/>
          <w:szCs w:val="28"/>
          <w:rtl/>
          <w:lang w:bidi="fa-IR"/>
        </w:rPr>
        <w:t xml:space="preserve"> والبكر من كل</w:t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ّ</w:t>
      </w:r>
      <w:r w:rsidRPr="00914FA3">
        <w:rPr>
          <w:rFonts w:cs="Abz-2 (Badr)"/>
          <w:color w:val="000000" w:themeColor="text1"/>
          <w:sz w:val="28"/>
          <w:szCs w:val="28"/>
          <w:rtl/>
          <w:lang w:bidi="fa-IR"/>
        </w:rPr>
        <w:t xml:space="preserve"> شئ</w:t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:</w:t>
      </w:r>
      <w:r w:rsidRPr="00914FA3">
        <w:rPr>
          <w:rFonts w:cs="Abz-2 (Badr)"/>
          <w:color w:val="000000" w:themeColor="text1"/>
          <w:sz w:val="28"/>
          <w:szCs w:val="28"/>
          <w:rtl/>
          <w:lang w:bidi="fa-IR"/>
        </w:rPr>
        <w:t xml:space="preserve"> أو</w:t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ّ</w:t>
      </w:r>
      <w:r w:rsidRPr="00914FA3">
        <w:rPr>
          <w:rFonts w:cs="Abz-2 (Badr)"/>
          <w:color w:val="000000" w:themeColor="text1"/>
          <w:sz w:val="28"/>
          <w:szCs w:val="28"/>
          <w:rtl/>
          <w:lang w:bidi="fa-IR"/>
        </w:rPr>
        <w:t>له</w:t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...</w:t>
      </w:r>
      <w:r w:rsidRPr="00914FA3">
        <w:rPr>
          <w:rFonts w:ascii="IE Nassim" w:hAnsi="IE Nassim"/>
          <w:color w:val="333333"/>
          <w:sz w:val="33"/>
          <w:szCs w:val="33"/>
          <w:shd w:val="clear" w:color="auto" w:fill="FFFFFF"/>
          <w:rtl/>
        </w:rPr>
        <w:t xml:space="preserve"> </w:t>
      </w:r>
      <w:r w:rsidRPr="00914FA3">
        <w:rPr>
          <w:rFonts w:cs="Abz-2 (Badr)"/>
          <w:color w:val="000000" w:themeColor="text1"/>
          <w:sz w:val="28"/>
          <w:szCs w:val="28"/>
          <w:rtl/>
          <w:lang w:bidi="fa-IR"/>
        </w:rPr>
        <w:t>وابتكر الرجل المرأة، أي: أخذ ق</w:t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ِ</w:t>
      </w:r>
      <w:r w:rsidRPr="00914FA3">
        <w:rPr>
          <w:rFonts w:cs="Abz-2 (Badr)"/>
          <w:color w:val="000000" w:themeColor="text1"/>
          <w:sz w:val="28"/>
          <w:szCs w:val="28"/>
          <w:rtl/>
          <w:lang w:bidi="fa-IR"/>
        </w:rPr>
        <w:t>ض</w:t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ّ</w:t>
      </w:r>
      <w:r w:rsidRPr="00914FA3">
        <w:rPr>
          <w:rFonts w:cs="Abz-2 (Badr)"/>
          <w:color w:val="000000" w:themeColor="text1"/>
          <w:sz w:val="28"/>
          <w:szCs w:val="28"/>
          <w:rtl/>
          <w:lang w:bidi="fa-IR"/>
        </w:rPr>
        <w:t>تها</w:t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...»</w:t>
      </w:r>
      <w:r w:rsidRPr="002D27AB">
        <w:rPr>
          <w:rStyle w:val="FootnoteReference"/>
          <w:rFonts w:cs="Abz-2 (Badr)"/>
          <w:sz w:val="28"/>
          <w:szCs w:val="28"/>
          <w:rtl/>
          <w:lang w:bidi="fa-IR"/>
        </w:rPr>
        <w:footnoteReference w:id="2"/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 xml:space="preserve"> ومثله کلام صاحب بن عبّاد في المحيط في اللغة.</w:t>
      </w:r>
      <w:r w:rsidRPr="002D27AB">
        <w:rPr>
          <w:rStyle w:val="FootnoteReference"/>
          <w:rFonts w:cs="Abz-2 (Badr)"/>
          <w:sz w:val="28"/>
          <w:szCs w:val="28"/>
          <w:rtl/>
          <w:lang w:bidi="fa-IR"/>
        </w:rPr>
        <w:footnoteReference w:id="3"/>
      </w:r>
    </w:p>
    <w:p w14:paraId="751BC4DC" w14:textId="77777777" w:rsidR="0003525A" w:rsidRDefault="0003525A" w:rsidP="0003525A">
      <w:pPr>
        <w:widowControl w:val="0"/>
        <w:bidi/>
        <w:spacing w:after="0"/>
        <w:ind w:firstLine="284"/>
        <w:jc w:val="both"/>
        <w:rPr>
          <w:rFonts w:cs="Abz-2 (Badr)"/>
          <w:color w:val="000000" w:themeColor="text1"/>
          <w:sz w:val="28"/>
          <w:szCs w:val="28"/>
          <w:rtl/>
          <w:lang w:bidi="fa-IR"/>
        </w:rPr>
      </w:pP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وقال الجوهري في الصحاح: «</w:t>
      </w:r>
      <w:r w:rsidRPr="000D12B8">
        <w:rPr>
          <w:rFonts w:cs="Abz-2 (Badr)"/>
          <w:color w:val="000000" w:themeColor="text1"/>
          <w:sz w:val="28"/>
          <w:szCs w:val="28"/>
          <w:rtl/>
          <w:lang w:bidi="fa-IR"/>
        </w:rPr>
        <w:t>الب</w:t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ِ</w:t>
      </w:r>
      <w:r w:rsidRPr="000D12B8">
        <w:rPr>
          <w:rFonts w:cs="Abz-2 (Badr)"/>
          <w:color w:val="000000" w:themeColor="text1"/>
          <w:sz w:val="28"/>
          <w:szCs w:val="28"/>
          <w:rtl/>
          <w:lang w:bidi="fa-IR"/>
        </w:rPr>
        <w:t xml:space="preserve">كر: العذراء، </w:t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وال</w:t>
      </w:r>
      <w:r w:rsidRPr="000D12B8">
        <w:rPr>
          <w:rFonts w:cs="Abz-2 (Badr)"/>
          <w:color w:val="000000" w:themeColor="text1"/>
          <w:sz w:val="28"/>
          <w:szCs w:val="28"/>
          <w:rtl/>
          <w:lang w:bidi="fa-IR"/>
        </w:rPr>
        <w:t>ج</w:t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 xml:space="preserve">مع: </w:t>
      </w:r>
      <w:r w:rsidRPr="000D12B8">
        <w:rPr>
          <w:rFonts w:cs="Abz-2 (Badr)"/>
          <w:color w:val="000000" w:themeColor="text1"/>
          <w:sz w:val="28"/>
          <w:szCs w:val="28"/>
          <w:rtl/>
          <w:lang w:bidi="fa-IR"/>
        </w:rPr>
        <w:t>أبكار، والمصدر</w:t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 xml:space="preserve">: </w:t>
      </w:r>
      <w:r w:rsidRPr="000D12B8">
        <w:rPr>
          <w:rFonts w:cs="Abz-2 (Badr)"/>
          <w:color w:val="000000" w:themeColor="text1"/>
          <w:sz w:val="28"/>
          <w:szCs w:val="28"/>
          <w:rtl/>
          <w:lang w:bidi="fa-IR"/>
        </w:rPr>
        <w:t>الب</w:t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َ</w:t>
      </w:r>
      <w:r w:rsidRPr="000D12B8">
        <w:rPr>
          <w:rFonts w:cs="Abz-2 (Badr)"/>
          <w:color w:val="000000" w:themeColor="text1"/>
          <w:sz w:val="28"/>
          <w:szCs w:val="28"/>
          <w:rtl/>
          <w:lang w:bidi="fa-IR"/>
        </w:rPr>
        <w:t>كارة، بالفتح</w:t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.»</w:t>
      </w:r>
      <w:r w:rsidRPr="002D27AB">
        <w:rPr>
          <w:rStyle w:val="FootnoteReference"/>
          <w:rFonts w:cs="Abz-2 (Badr)"/>
          <w:sz w:val="28"/>
          <w:szCs w:val="28"/>
          <w:rtl/>
          <w:lang w:bidi="fa-IR"/>
        </w:rPr>
        <w:footnoteReference w:id="4"/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 xml:space="preserve"> ومثله کلام الفيروزآبادي في القاموس</w:t>
      </w:r>
      <w:r w:rsidRPr="002D27AB">
        <w:rPr>
          <w:rStyle w:val="FootnoteReference"/>
          <w:rFonts w:cs="Abz-2 (Badr)"/>
          <w:sz w:val="28"/>
          <w:szCs w:val="28"/>
          <w:rtl/>
          <w:lang w:bidi="fa-IR"/>
        </w:rPr>
        <w:footnoteReference w:id="5"/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.</w:t>
      </w:r>
    </w:p>
    <w:p w14:paraId="455C1293" w14:textId="77777777" w:rsidR="0003525A" w:rsidRDefault="0003525A" w:rsidP="0003525A">
      <w:pPr>
        <w:widowControl w:val="0"/>
        <w:bidi/>
        <w:spacing w:after="0"/>
        <w:ind w:firstLine="284"/>
        <w:jc w:val="both"/>
        <w:rPr>
          <w:rFonts w:cs="Abz-2 (Badr)"/>
          <w:color w:val="000000" w:themeColor="text1"/>
          <w:sz w:val="28"/>
          <w:szCs w:val="28"/>
          <w:rtl/>
          <w:lang w:bidi="fa-IR"/>
        </w:rPr>
      </w:pP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وقال الخليل أيضاً: «</w:t>
      </w:r>
      <w:r w:rsidRPr="00405BCC">
        <w:rPr>
          <w:rFonts w:cs="Abz-2 (Badr)"/>
          <w:color w:val="000000" w:themeColor="text1"/>
          <w:sz w:val="28"/>
          <w:szCs w:val="28"/>
          <w:rtl/>
          <w:lang w:bidi="fa-IR"/>
        </w:rPr>
        <w:t>الثي</w:t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ّ</w:t>
      </w:r>
      <w:r w:rsidRPr="00405BCC">
        <w:rPr>
          <w:rFonts w:cs="Abz-2 (Badr)"/>
          <w:color w:val="000000" w:themeColor="text1"/>
          <w:sz w:val="28"/>
          <w:szCs w:val="28"/>
          <w:rtl/>
          <w:lang w:bidi="fa-IR"/>
        </w:rPr>
        <w:t>ب</w:t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 xml:space="preserve">: </w:t>
      </w:r>
      <w:r w:rsidRPr="00405BCC">
        <w:rPr>
          <w:rFonts w:cs="Abz-2 (Badr)"/>
          <w:color w:val="000000" w:themeColor="text1"/>
          <w:sz w:val="28"/>
          <w:szCs w:val="28"/>
          <w:rtl/>
          <w:lang w:bidi="fa-IR"/>
        </w:rPr>
        <w:t>التي قد تزو</w:t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ّ</w:t>
      </w:r>
      <w:r w:rsidRPr="00405BCC">
        <w:rPr>
          <w:rFonts w:cs="Abz-2 (Badr)"/>
          <w:color w:val="000000" w:themeColor="text1"/>
          <w:sz w:val="28"/>
          <w:szCs w:val="28"/>
          <w:rtl/>
          <w:lang w:bidi="fa-IR"/>
        </w:rPr>
        <w:t xml:space="preserve">جت وبانت </w:t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 xml:space="preserve">ـ </w:t>
      </w:r>
      <w:r w:rsidRPr="00405BCC">
        <w:rPr>
          <w:rFonts w:cs="Abz-2 (Badr)"/>
          <w:color w:val="000000" w:themeColor="text1"/>
          <w:sz w:val="28"/>
          <w:szCs w:val="28"/>
          <w:rtl/>
          <w:lang w:bidi="fa-IR"/>
        </w:rPr>
        <w:t>بأي</w:t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ّ</w:t>
      </w:r>
      <w:r w:rsidRPr="00405BCC">
        <w:rPr>
          <w:rFonts w:cs="Abz-2 (Badr)"/>
          <w:color w:val="000000" w:themeColor="text1"/>
          <w:sz w:val="28"/>
          <w:szCs w:val="28"/>
          <w:rtl/>
          <w:lang w:bidi="fa-IR"/>
        </w:rPr>
        <w:t xml:space="preserve"> وجه كان</w:t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 xml:space="preserve"> ـ</w:t>
      </w:r>
      <w:r w:rsidRPr="00405BCC">
        <w:rPr>
          <w:rFonts w:cs="Abz-2 (Badr)"/>
          <w:color w:val="000000" w:themeColor="text1"/>
          <w:sz w:val="28"/>
          <w:szCs w:val="28"/>
          <w:rtl/>
          <w:lang w:bidi="fa-IR"/>
        </w:rPr>
        <w:t xml:space="preserve"> بعد</w:t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 xml:space="preserve"> </w:t>
      </w:r>
      <w:r w:rsidRPr="00405BCC">
        <w:rPr>
          <w:rFonts w:cs="Abz-2 (Badr)"/>
          <w:color w:val="000000" w:themeColor="text1"/>
          <w:sz w:val="28"/>
          <w:szCs w:val="28"/>
          <w:rtl/>
          <w:lang w:bidi="fa-IR"/>
        </w:rPr>
        <w:t>أن مس</w:t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ّ</w:t>
      </w:r>
      <w:r w:rsidRPr="00405BCC">
        <w:rPr>
          <w:rFonts w:cs="Abz-2 (Badr)"/>
          <w:color w:val="000000" w:themeColor="text1"/>
          <w:sz w:val="28"/>
          <w:szCs w:val="28"/>
          <w:rtl/>
          <w:lang w:bidi="fa-IR"/>
        </w:rPr>
        <w:t>ها، ولا يوصف به الرجل، إلا أن يقال</w:t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:</w:t>
      </w:r>
      <w:r w:rsidRPr="00405BCC">
        <w:rPr>
          <w:rFonts w:cs="Abz-2 (Badr)"/>
          <w:color w:val="000000" w:themeColor="text1"/>
          <w:sz w:val="28"/>
          <w:szCs w:val="28"/>
          <w:rtl/>
          <w:lang w:bidi="fa-IR"/>
        </w:rPr>
        <w:t xml:space="preserve"> ولد الثي</w:t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ّ</w:t>
      </w:r>
      <w:r w:rsidRPr="00405BCC">
        <w:rPr>
          <w:rFonts w:cs="Abz-2 (Badr)"/>
          <w:color w:val="000000" w:themeColor="text1"/>
          <w:sz w:val="28"/>
          <w:szCs w:val="28"/>
          <w:rtl/>
          <w:lang w:bidi="fa-IR"/>
        </w:rPr>
        <w:t>بين، وولد البكرين</w:t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.»</w:t>
      </w:r>
      <w:r w:rsidRPr="002D27AB">
        <w:rPr>
          <w:rStyle w:val="FootnoteReference"/>
          <w:rFonts w:cs="Abz-2 (Badr)"/>
          <w:sz w:val="28"/>
          <w:szCs w:val="28"/>
          <w:rtl/>
          <w:lang w:bidi="fa-IR"/>
        </w:rPr>
        <w:footnoteReference w:id="6"/>
      </w:r>
    </w:p>
    <w:p w14:paraId="7841658B" w14:textId="77777777" w:rsidR="0003525A" w:rsidRDefault="0003525A" w:rsidP="0003525A">
      <w:pPr>
        <w:widowControl w:val="0"/>
        <w:bidi/>
        <w:spacing w:after="0"/>
        <w:ind w:firstLine="284"/>
        <w:jc w:val="both"/>
        <w:rPr>
          <w:rFonts w:cs="Abz-2 (Badr)"/>
          <w:color w:val="000000" w:themeColor="text1"/>
          <w:sz w:val="28"/>
          <w:szCs w:val="28"/>
          <w:rtl/>
          <w:lang w:bidi="fa-IR"/>
        </w:rPr>
      </w:pP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وقال ابن أثير في النهاية: «</w:t>
      </w:r>
      <w:r w:rsidRPr="00303558">
        <w:rPr>
          <w:rFonts w:cs="Abz-2 (Badr)"/>
          <w:color w:val="000000" w:themeColor="text1"/>
          <w:sz w:val="28"/>
          <w:szCs w:val="28"/>
          <w:rtl/>
          <w:lang w:bidi="fa-IR"/>
        </w:rPr>
        <w:t>الثيّب</w:t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:</w:t>
      </w:r>
      <w:r w:rsidRPr="00303558">
        <w:rPr>
          <w:rFonts w:cs="Abz-2 (Badr)"/>
          <w:color w:val="000000" w:themeColor="text1"/>
          <w:sz w:val="28"/>
          <w:szCs w:val="28"/>
          <w:rtl/>
          <w:lang w:bidi="fa-IR"/>
        </w:rPr>
        <w:t> من ليس ببكر، ويقع على الذكر والأنثى</w:t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.</w:t>
      </w:r>
      <w:r w:rsidRPr="00303558">
        <w:rPr>
          <w:rFonts w:cs="Abz-2 (Badr)"/>
          <w:color w:val="000000" w:themeColor="text1"/>
          <w:sz w:val="28"/>
          <w:szCs w:val="28"/>
          <w:rtl/>
          <w:lang w:bidi="fa-IR"/>
        </w:rPr>
        <w:t xml:space="preserve"> رجل ثيب وامرأة ثي</w:t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ّ</w:t>
      </w:r>
      <w:r w:rsidRPr="00303558">
        <w:rPr>
          <w:rFonts w:cs="Abz-2 (Badr)"/>
          <w:color w:val="000000" w:themeColor="text1"/>
          <w:sz w:val="28"/>
          <w:szCs w:val="28"/>
          <w:rtl/>
          <w:lang w:bidi="fa-IR"/>
        </w:rPr>
        <w:t>ب، وقد يطلق على المرأة المبالغة وإن كانت بكرا</w:t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ً</w:t>
      </w:r>
      <w:r w:rsidRPr="00303558">
        <w:rPr>
          <w:rFonts w:cs="Abz-2 (Badr)"/>
          <w:color w:val="000000" w:themeColor="text1"/>
          <w:sz w:val="28"/>
          <w:szCs w:val="28"/>
          <w:rtl/>
          <w:lang w:bidi="fa-IR"/>
        </w:rPr>
        <w:t xml:space="preserve"> مجازا</w:t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ً</w:t>
      </w:r>
      <w:r w:rsidRPr="00303558">
        <w:rPr>
          <w:rFonts w:cs="Abz-2 (Badr)"/>
          <w:color w:val="000000" w:themeColor="text1"/>
          <w:sz w:val="28"/>
          <w:szCs w:val="28"/>
          <w:rtl/>
          <w:lang w:bidi="fa-IR"/>
        </w:rPr>
        <w:t xml:space="preserve"> وات</w:t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ّ</w:t>
      </w:r>
      <w:r w:rsidRPr="00303558">
        <w:rPr>
          <w:rFonts w:cs="Abz-2 (Badr)"/>
          <w:color w:val="000000" w:themeColor="text1"/>
          <w:sz w:val="28"/>
          <w:szCs w:val="28"/>
          <w:rtl/>
          <w:lang w:bidi="fa-IR"/>
        </w:rPr>
        <w:t>ساعا</w:t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ً.»</w:t>
      </w:r>
      <w:r w:rsidRPr="002D27AB">
        <w:rPr>
          <w:rStyle w:val="FootnoteReference"/>
          <w:rFonts w:cs="Abz-2 (Badr)"/>
          <w:sz w:val="28"/>
          <w:szCs w:val="28"/>
          <w:rtl/>
          <w:lang w:bidi="fa-IR"/>
        </w:rPr>
        <w:footnoteReference w:id="7"/>
      </w:r>
    </w:p>
    <w:p w14:paraId="7FE18505" w14:textId="77777777" w:rsidR="0003525A" w:rsidRPr="005A3BFA" w:rsidRDefault="0003525A" w:rsidP="0003525A">
      <w:pPr>
        <w:widowControl w:val="0"/>
        <w:bidi/>
        <w:spacing w:after="0"/>
        <w:ind w:firstLine="284"/>
        <w:jc w:val="both"/>
        <w:rPr>
          <w:rFonts w:ascii="Nassim" w:eastAsia="Times New Roman" w:hAnsi="Nassim" w:cs="Times New Roman"/>
          <w:color w:val="333333"/>
          <w:sz w:val="33"/>
          <w:szCs w:val="33"/>
        </w:rPr>
      </w:pP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وقال الجوهري: «</w:t>
      </w:r>
      <w:r w:rsidRPr="005A3BFA">
        <w:rPr>
          <w:rFonts w:cs="Abz-2 (Badr)"/>
          <w:color w:val="000000" w:themeColor="text1"/>
          <w:sz w:val="28"/>
          <w:szCs w:val="28"/>
          <w:rtl/>
          <w:lang w:bidi="fa-IR"/>
        </w:rPr>
        <w:t>رجل ثي</w:t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ّ</w:t>
      </w:r>
      <w:r w:rsidRPr="005A3BFA">
        <w:rPr>
          <w:rFonts w:cs="Abz-2 (Badr)"/>
          <w:color w:val="000000" w:themeColor="text1"/>
          <w:sz w:val="28"/>
          <w:szCs w:val="28"/>
          <w:rtl/>
          <w:lang w:bidi="fa-IR"/>
        </w:rPr>
        <w:t>ب</w:t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 xml:space="preserve"> و</w:t>
      </w:r>
      <w:r w:rsidRPr="005A3BFA">
        <w:rPr>
          <w:rFonts w:cs="Abz-2 (Badr)"/>
          <w:color w:val="000000" w:themeColor="text1"/>
          <w:sz w:val="28"/>
          <w:szCs w:val="28"/>
          <w:rtl/>
          <w:lang w:bidi="fa-IR"/>
        </w:rPr>
        <w:t>امرأة ثي</w:t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ّ</w:t>
      </w:r>
      <w:r w:rsidRPr="005A3BFA">
        <w:rPr>
          <w:rFonts w:cs="Abz-2 (Badr)"/>
          <w:color w:val="000000" w:themeColor="text1"/>
          <w:sz w:val="28"/>
          <w:szCs w:val="28"/>
          <w:rtl/>
          <w:lang w:bidi="fa-IR"/>
        </w:rPr>
        <w:t>ب، الذكر والأ</w:t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ُ</w:t>
      </w:r>
      <w:r w:rsidRPr="005A3BFA">
        <w:rPr>
          <w:rFonts w:cs="Abz-2 (Badr)"/>
          <w:color w:val="000000" w:themeColor="text1"/>
          <w:sz w:val="28"/>
          <w:szCs w:val="28"/>
          <w:rtl/>
          <w:lang w:bidi="fa-IR"/>
        </w:rPr>
        <w:t>نثى فيه سواء. قال ابن السك</w:t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ّ</w:t>
      </w:r>
      <w:r w:rsidRPr="005A3BFA">
        <w:rPr>
          <w:rFonts w:cs="Abz-2 (Badr)"/>
          <w:color w:val="000000" w:themeColor="text1"/>
          <w:sz w:val="28"/>
          <w:szCs w:val="28"/>
          <w:rtl/>
          <w:lang w:bidi="fa-IR"/>
        </w:rPr>
        <w:t xml:space="preserve">يت: وذلك إذا كانت المرأة قد دخل </w:t>
      </w:r>
      <w:r w:rsidRPr="005A3BFA">
        <w:rPr>
          <w:rFonts w:cs="Abz-2 (Badr)"/>
          <w:color w:val="000000" w:themeColor="text1"/>
          <w:sz w:val="28"/>
          <w:szCs w:val="28"/>
          <w:rtl/>
          <w:lang w:bidi="fa-IR"/>
        </w:rPr>
        <w:lastRenderedPageBreak/>
        <w:t>بها، أو كان الرجل قد دخل بامرأته</w:t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 xml:space="preserve">. </w:t>
      </w:r>
      <w:r w:rsidRPr="005A3BFA">
        <w:rPr>
          <w:rFonts w:cs="Abz-2 (Badr)"/>
          <w:color w:val="000000" w:themeColor="text1"/>
          <w:sz w:val="28"/>
          <w:szCs w:val="28"/>
          <w:rtl/>
          <w:lang w:bidi="fa-IR"/>
        </w:rPr>
        <w:t>تقول منه</w:t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:</w:t>
      </w:r>
      <w:r w:rsidRPr="005A3BFA">
        <w:rPr>
          <w:rFonts w:cs="Abz-2 (Badr)"/>
          <w:color w:val="000000" w:themeColor="text1"/>
          <w:sz w:val="28"/>
          <w:szCs w:val="28"/>
          <w:rtl/>
          <w:lang w:bidi="fa-IR"/>
        </w:rPr>
        <w:t xml:space="preserve"> قد ثُيّبت المرأة</w:t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.»</w:t>
      </w:r>
      <w:r w:rsidRPr="002D27AB">
        <w:rPr>
          <w:rStyle w:val="FootnoteReference"/>
          <w:rFonts w:cs="Abz-2 (Badr)"/>
          <w:sz w:val="28"/>
          <w:szCs w:val="28"/>
          <w:rtl/>
          <w:lang w:bidi="fa-IR"/>
        </w:rPr>
        <w:footnoteReference w:id="8"/>
      </w:r>
    </w:p>
    <w:p w14:paraId="09B91704" w14:textId="77777777" w:rsidR="0003525A" w:rsidRDefault="0003525A" w:rsidP="0003525A">
      <w:pPr>
        <w:widowControl w:val="0"/>
        <w:bidi/>
        <w:spacing w:after="0"/>
        <w:ind w:firstLine="284"/>
        <w:jc w:val="both"/>
        <w:rPr>
          <w:rFonts w:cs="Abz-2 (Badr)"/>
          <w:color w:val="000000" w:themeColor="text1"/>
          <w:sz w:val="28"/>
          <w:szCs w:val="28"/>
          <w:rtl/>
          <w:lang w:bidi="fa-IR"/>
        </w:rPr>
      </w:pP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وقال ابن منظور في لسان العرب: «</w:t>
      </w:r>
      <w:r w:rsidRPr="00EB5968">
        <w:rPr>
          <w:rFonts w:cs="Abz-2 (Badr)"/>
          <w:color w:val="000000" w:themeColor="text1"/>
          <w:sz w:val="28"/>
          <w:szCs w:val="28"/>
          <w:rtl/>
          <w:lang w:bidi="fa-IR"/>
        </w:rPr>
        <w:t>قال الأصمعي</w:t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:</w:t>
      </w:r>
      <w:r w:rsidRPr="00EB5968">
        <w:rPr>
          <w:rFonts w:cs="Abz-2 (Badr)"/>
          <w:color w:val="000000" w:themeColor="text1"/>
          <w:sz w:val="28"/>
          <w:szCs w:val="28"/>
          <w:rtl/>
          <w:lang w:bidi="fa-IR"/>
        </w:rPr>
        <w:t xml:space="preserve"> امرأة ثي</w:t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ّ</w:t>
      </w:r>
      <w:r w:rsidRPr="00EB5968">
        <w:rPr>
          <w:rFonts w:cs="Abz-2 (Badr)"/>
          <w:color w:val="000000" w:themeColor="text1"/>
          <w:sz w:val="28"/>
          <w:szCs w:val="28"/>
          <w:rtl/>
          <w:lang w:bidi="fa-IR"/>
        </w:rPr>
        <w:t>ب ورجل ثي</w:t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ّ</w:t>
      </w:r>
      <w:r w:rsidRPr="00EB5968">
        <w:rPr>
          <w:rFonts w:cs="Abz-2 (Badr)"/>
          <w:color w:val="000000" w:themeColor="text1"/>
          <w:sz w:val="28"/>
          <w:szCs w:val="28"/>
          <w:rtl/>
          <w:lang w:bidi="fa-IR"/>
        </w:rPr>
        <w:t>ب</w:t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:</w:t>
      </w:r>
      <w:r w:rsidRPr="00EB5968">
        <w:rPr>
          <w:rFonts w:cs="Abz-2 (Badr)"/>
          <w:color w:val="000000" w:themeColor="text1"/>
          <w:sz w:val="28"/>
          <w:szCs w:val="28"/>
          <w:rtl/>
          <w:lang w:bidi="fa-IR"/>
        </w:rPr>
        <w:t> إذا كان قد دُخل به أو دُخل بها، الذكر والأ</w:t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ُ</w:t>
      </w:r>
      <w:r w:rsidRPr="00EB5968">
        <w:rPr>
          <w:rFonts w:cs="Abz-2 (Badr)"/>
          <w:color w:val="000000" w:themeColor="text1"/>
          <w:sz w:val="28"/>
          <w:szCs w:val="28"/>
          <w:rtl/>
          <w:lang w:bidi="fa-IR"/>
        </w:rPr>
        <w:t>نثى في ذلك سواء</w:t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.»</w:t>
      </w:r>
      <w:r w:rsidRPr="00EB5968">
        <w:rPr>
          <w:rStyle w:val="FootnoteReference"/>
          <w:rFonts w:cs="Abz-2 (Badr)"/>
          <w:sz w:val="28"/>
          <w:szCs w:val="28"/>
          <w:rtl/>
          <w:lang w:bidi="fa-IR"/>
        </w:rPr>
        <w:t xml:space="preserve"> </w:t>
      </w:r>
      <w:r w:rsidRPr="002D27AB">
        <w:rPr>
          <w:rStyle w:val="FootnoteReference"/>
          <w:rFonts w:cs="Abz-2 (Badr)"/>
          <w:sz w:val="28"/>
          <w:szCs w:val="28"/>
          <w:rtl/>
          <w:lang w:bidi="fa-IR"/>
        </w:rPr>
        <w:footnoteReference w:id="9"/>
      </w:r>
    </w:p>
    <w:p w14:paraId="1CB4B438" w14:textId="77777777" w:rsidR="0003525A" w:rsidRDefault="0003525A" w:rsidP="0003525A">
      <w:pPr>
        <w:widowControl w:val="0"/>
        <w:bidi/>
        <w:spacing w:after="0"/>
        <w:ind w:firstLine="284"/>
        <w:jc w:val="both"/>
        <w:rPr>
          <w:rFonts w:cs="Abz-2 (Badr)"/>
          <w:color w:val="000000" w:themeColor="text1"/>
          <w:sz w:val="28"/>
          <w:szCs w:val="28"/>
          <w:rtl/>
          <w:lang w:bidi="fa-IR"/>
        </w:rPr>
      </w:pP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وقال في القاموس: «</w:t>
      </w:r>
      <w:r w:rsidRPr="00405BCC">
        <w:rPr>
          <w:rFonts w:cs="Abz-2 (Badr)"/>
          <w:color w:val="000000" w:themeColor="text1"/>
          <w:sz w:val="28"/>
          <w:szCs w:val="28"/>
          <w:rtl/>
          <w:lang w:bidi="fa-IR"/>
        </w:rPr>
        <w:t>الثي</w:t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ّ</w:t>
      </w:r>
      <w:r w:rsidRPr="00405BCC">
        <w:rPr>
          <w:rFonts w:cs="Abz-2 (Badr)"/>
          <w:color w:val="000000" w:themeColor="text1"/>
          <w:sz w:val="28"/>
          <w:szCs w:val="28"/>
          <w:rtl/>
          <w:lang w:bidi="fa-IR"/>
        </w:rPr>
        <w:t>ب: المرأة فارقت زوجها، أو د</w:t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ُ</w:t>
      </w:r>
      <w:r w:rsidRPr="00405BCC">
        <w:rPr>
          <w:rFonts w:cs="Abz-2 (Badr)"/>
          <w:color w:val="000000" w:themeColor="text1"/>
          <w:sz w:val="28"/>
          <w:szCs w:val="28"/>
          <w:rtl/>
          <w:lang w:bidi="fa-IR"/>
        </w:rPr>
        <w:t>خل بها</w:t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.»</w:t>
      </w:r>
      <w:r w:rsidRPr="002D27AB">
        <w:rPr>
          <w:rStyle w:val="FootnoteReference"/>
          <w:rFonts w:cs="Abz-2 (Badr)"/>
          <w:sz w:val="28"/>
          <w:szCs w:val="28"/>
          <w:rtl/>
          <w:lang w:bidi="fa-IR"/>
        </w:rPr>
        <w:footnoteReference w:id="10"/>
      </w:r>
    </w:p>
    <w:p w14:paraId="5B7291EC" w14:textId="77777777" w:rsidR="0003525A" w:rsidRDefault="0003525A" w:rsidP="0003525A">
      <w:pPr>
        <w:widowControl w:val="0"/>
        <w:bidi/>
        <w:spacing w:after="0"/>
        <w:ind w:firstLine="284"/>
        <w:jc w:val="both"/>
        <w:rPr>
          <w:rFonts w:cs="Abz-2 (Badr)"/>
          <w:color w:val="000000" w:themeColor="text1"/>
          <w:sz w:val="28"/>
          <w:szCs w:val="28"/>
          <w:rtl/>
          <w:lang w:bidi="fa-IR"/>
        </w:rPr>
      </w:pP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از مجموع آنچه که گذشت، معلوم می</w:t>
      </w:r>
      <w:r>
        <w:rPr>
          <w:rFonts w:cs="Abz-2 (Badr)"/>
          <w:color w:val="000000" w:themeColor="text1"/>
          <w:sz w:val="28"/>
          <w:szCs w:val="28"/>
          <w:rtl/>
          <w:lang w:bidi="fa-IR"/>
        </w:rPr>
        <w:softHyphen/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شود که بکر در لغت زنی است که دست</w:t>
      </w:r>
      <w:r>
        <w:rPr>
          <w:rFonts w:cs="Abz-2 (Badr)"/>
          <w:color w:val="000000" w:themeColor="text1"/>
          <w:sz w:val="28"/>
          <w:szCs w:val="28"/>
          <w:rtl/>
          <w:lang w:bidi="fa-IR"/>
        </w:rPr>
        <w:softHyphen/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نخورده و عذراء باشد، اما قدر متيقّن از عذراء بودن اين است که به وی ـ چه با نکاح و چه بدون آن ـ دخول نشده باشد، اما اگر زنی ازدواج کرده و سپس بدون دخول از همسرش جدا شود، معلوم نيست که بر وی صدق بکر بشود.</w:t>
      </w:r>
    </w:p>
    <w:p w14:paraId="5554F2CF" w14:textId="77777777" w:rsidR="0003525A" w:rsidRDefault="0003525A" w:rsidP="0003525A">
      <w:pPr>
        <w:widowControl w:val="0"/>
        <w:bidi/>
        <w:spacing w:after="0"/>
        <w:ind w:firstLine="284"/>
        <w:jc w:val="both"/>
        <w:rPr>
          <w:rFonts w:cs="Abz-2 (Badr)"/>
          <w:color w:val="000000" w:themeColor="text1"/>
          <w:sz w:val="28"/>
          <w:szCs w:val="28"/>
          <w:rtl/>
          <w:lang w:bidi="fa-IR"/>
        </w:rPr>
      </w:pP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همچنان که مراد از ثيّب زنی است که در برابر بکر بوده و قدر متيقّن از آن زنی است که به او دخول شده باشد، اما اگر زنی ازدواج کرده و بدون دخول از همسرش جدا شود، صدق ثيّب نيز بر وی محل اشکال است، همچنان که در بين اهل لغت نيز در اين مطلب اختلاف وجود دارد و برخی صدق ثيبوبت را منوط بر اين کرده</w:t>
      </w:r>
      <w:r>
        <w:rPr>
          <w:rFonts w:cs="Abz-2 (Badr)"/>
          <w:color w:val="000000" w:themeColor="text1"/>
          <w:sz w:val="28"/>
          <w:szCs w:val="28"/>
          <w:rtl/>
          <w:lang w:bidi="fa-IR"/>
        </w:rPr>
        <w:softHyphen/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اند که به زن بعد از نکاح و قبل از فراق، دخول شود، در حالی که برخی ديگر مجرد نکاح را موجب ثيبوبت دانسته</w:t>
      </w:r>
      <w:r>
        <w:rPr>
          <w:rFonts w:cs="Abz-2 (Badr)"/>
          <w:color w:val="000000" w:themeColor="text1"/>
          <w:sz w:val="28"/>
          <w:szCs w:val="28"/>
          <w:rtl/>
          <w:lang w:bidi="fa-IR"/>
        </w:rPr>
        <w:softHyphen/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اند، فلذا آن را قسيم دخول قرار داده</w:t>
      </w:r>
      <w:r>
        <w:rPr>
          <w:rFonts w:cs="Abz-2 (Badr)"/>
          <w:color w:val="000000" w:themeColor="text1"/>
          <w:sz w:val="28"/>
          <w:szCs w:val="28"/>
          <w:rtl/>
          <w:lang w:bidi="fa-IR"/>
        </w:rPr>
        <w:softHyphen/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اند.</w:t>
      </w:r>
    </w:p>
    <w:p w14:paraId="36F3D481" w14:textId="77777777" w:rsidR="0003525A" w:rsidRDefault="0003525A" w:rsidP="0003525A">
      <w:pPr>
        <w:widowControl w:val="0"/>
        <w:bidi/>
        <w:spacing w:after="0"/>
        <w:ind w:firstLine="284"/>
        <w:jc w:val="both"/>
        <w:rPr>
          <w:rFonts w:cs="Abz-2 (Badr)"/>
          <w:color w:val="000000" w:themeColor="text1"/>
          <w:sz w:val="28"/>
          <w:szCs w:val="28"/>
          <w:rtl/>
          <w:lang w:bidi="fa-IR"/>
        </w:rPr>
      </w:pP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اما آنچه که قدر متيقّن از کلمات اهل لغت است اين است که هيچ يک بکارت را به معنای وجود پرده و غشاء بکارت و ثيبوبت را به معنای عدم آن معنی نکرده</w:t>
      </w:r>
      <w:r>
        <w:rPr>
          <w:rFonts w:cs="Abz-2 (Badr)"/>
          <w:color w:val="000000" w:themeColor="text1"/>
          <w:sz w:val="28"/>
          <w:szCs w:val="28"/>
          <w:rtl/>
          <w:lang w:bidi="fa-IR"/>
        </w:rPr>
        <w:softHyphen/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اند. فلذا حق اين است که پرده بکارت اماره</w:t>
      </w:r>
      <w:r>
        <w:rPr>
          <w:rFonts w:cs="Abz-2 (Badr)"/>
          <w:color w:val="000000" w:themeColor="text1"/>
          <w:sz w:val="28"/>
          <w:szCs w:val="28"/>
          <w:rtl/>
          <w:lang w:bidi="fa-IR"/>
        </w:rPr>
        <w:softHyphen/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ای عرفی بر بکارت است، و در نتيجه اگر به غير دخول زائل شود، موجب عدم صدق بکر بر دختر نمی</w:t>
      </w:r>
      <w:r>
        <w:rPr>
          <w:rFonts w:cs="Abz-2 (Badr)"/>
          <w:color w:val="000000" w:themeColor="text1"/>
          <w:sz w:val="28"/>
          <w:szCs w:val="28"/>
          <w:rtl/>
          <w:lang w:bidi="fa-IR"/>
        </w:rPr>
        <w:softHyphen/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شود، همان گونه که اگر زنی که به او دخول شده از نظر خلقت به نحوی باشد که با دخول پرده بکارت او ازاله نمی</w:t>
      </w:r>
      <w:r>
        <w:rPr>
          <w:rFonts w:cs="Abz-2 (Badr)"/>
          <w:color w:val="000000" w:themeColor="text1"/>
          <w:sz w:val="28"/>
          <w:szCs w:val="28"/>
          <w:rtl/>
          <w:lang w:bidi="fa-IR"/>
        </w:rPr>
        <w:softHyphen/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شود و يا اين که آن را پس از دخول ترميم کرده باشد، اين مطلب مانع از صدق ثيّب بر او نيست.</w:t>
      </w:r>
    </w:p>
    <w:p w14:paraId="432C2285" w14:textId="77777777" w:rsidR="0003525A" w:rsidRDefault="0003525A" w:rsidP="0003525A">
      <w:pPr>
        <w:widowControl w:val="0"/>
        <w:bidi/>
        <w:spacing w:after="0"/>
        <w:ind w:firstLine="284"/>
        <w:jc w:val="both"/>
        <w:rPr>
          <w:rFonts w:cs="Abz-2 (Badr)"/>
          <w:color w:val="000000" w:themeColor="text1"/>
          <w:sz w:val="28"/>
          <w:szCs w:val="28"/>
          <w:rtl/>
          <w:lang w:bidi="fa-IR"/>
        </w:rPr>
      </w:pP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اما اخباری که در خصوص مقام وارد شده است، بيش از دو روايت ذيل نيست:</w:t>
      </w:r>
    </w:p>
    <w:p w14:paraId="0F351100" w14:textId="77777777" w:rsidR="0003525A" w:rsidRDefault="0003525A" w:rsidP="0003525A">
      <w:pPr>
        <w:widowControl w:val="0"/>
        <w:bidi/>
        <w:spacing w:after="0" w:line="266" w:lineRule="auto"/>
        <w:ind w:firstLine="284"/>
        <w:jc w:val="both"/>
        <w:rPr>
          <w:rFonts w:cs="Abz-2 (Badr)"/>
          <w:sz w:val="28"/>
          <w:szCs w:val="28"/>
          <w:rtl/>
          <w:lang w:bidi="fa-IR"/>
        </w:rPr>
      </w:pPr>
      <w:r>
        <w:rPr>
          <w:rFonts w:cs="Abz-2 (Badr)" w:hint="cs"/>
          <w:sz w:val="28"/>
          <w:szCs w:val="28"/>
          <w:rtl/>
          <w:lang w:bidi="fa-IR"/>
        </w:rPr>
        <w:t xml:space="preserve">1 ـ صحيحة </w:t>
      </w:r>
      <w:r w:rsidRPr="00F32DED">
        <w:rPr>
          <w:rFonts w:cs="Abz-2 (Badr)"/>
          <w:sz w:val="28"/>
          <w:szCs w:val="28"/>
          <w:rtl/>
          <w:lang w:bidi="fa-IR"/>
        </w:rPr>
        <w:t>محمّد بن‌ القاسم‌ بن‌ فضيل‌ عن‌ أبي الحسن‌</w:t>
      </w:r>
      <w:r>
        <w:rPr>
          <w:rFonts w:cs="Abz-2 (Badr)" w:hint="cs"/>
          <w:sz w:val="28"/>
          <w:szCs w:val="28"/>
          <w:rtl/>
          <w:lang w:bidi="fa-IR"/>
        </w:rPr>
        <w:t>(ع)</w:t>
      </w:r>
      <w:r w:rsidRPr="00F32DED">
        <w:rPr>
          <w:rFonts w:cs="Abz-2 (Badr)"/>
          <w:sz w:val="28"/>
          <w:szCs w:val="28"/>
          <w:rtl/>
          <w:lang w:bidi="fa-IR"/>
        </w:rPr>
        <w:t xml:space="preserve">‌: </w:t>
      </w:r>
      <w:r>
        <w:rPr>
          <w:rFonts w:cs="Abz-2 (Badr)" w:hint="cs"/>
          <w:sz w:val="28"/>
          <w:szCs w:val="28"/>
          <w:rtl/>
          <w:lang w:bidi="fa-IR"/>
        </w:rPr>
        <w:t>«</w:t>
      </w:r>
      <w:r w:rsidRPr="00F32DED">
        <w:rPr>
          <w:rFonts w:cs="Abz-2 (Badr)"/>
          <w:sz w:val="28"/>
          <w:szCs w:val="28"/>
          <w:rtl/>
          <w:lang w:bidi="fa-IR"/>
        </w:rPr>
        <w:t>في الرجل‌ يتزوّج‌ المرأة‌ على أنّها بكر فيجدها ثيّبا</w:t>
      </w:r>
      <w:r>
        <w:rPr>
          <w:rFonts w:cs="Abz-2 (Badr)" w:hint="cs"/>
          <w:sz w:val="28"/>
          <w:szCs w:val="28"/>
          <w:rtl/>
          <w:lang w:bidi="fa-IR"/>
        </w:rPr>
        <w:t>ً،</w:t>
      </w:r>
      <w:r w:rsidRPr="00F32DED">
        <w:rPr>
          <w:rFonts w:cs="Abz-2 (Badr)"/>
          <w:sz w:val="28"/>
          <w:szCs w:val="28"/>
          <w:rtl/>
          <w:lang w:bidi="fa-IR"/>
        </w:rPr>
        <w:t xml:space="preserve"> أيجوز له‌ أن‌ يقيم‌ عليها</w:t>
      </w:r>
      <w:r>
        <w:rPr>
          <w:rFonts w:cs="Abz-2 (Badr)" w:hint="cs"/>
          <w:sz w:val="28"/>
          <w:szCs w:val="28"/>
          <w:rtl/>
          <w:lang w:bidi="fa-IR"/>
        </w:rPr>
        <w:t>؟</w:t>
      </w:r>
      <w:r w:rsidRPr="00F32DED">
        <w:rPr>
          <w:rFonts w:cs="Abz-2 (Badr)"/>
          <w:sz w:val="28"/>
          <w:szCs w:val="28"/>
          <w:rtl/>
          <w:lang w:bidi="fa-IR"/>
        </w:rPr>
        <w:t xml:space="preserve"> قال</w:t>
      </w:r>
      <w:r>
        <w:rPr>
          <w:rFonts w:cs="Abz-2 (Badr)" w:hint="cs"/>
          <w:sz w:val="28"/>
          <w:szCs w:val="28"/>
          <w:rtl/>
          <w:lang w:bidi="fa-IR"/>
        </w:rPr>
        <w:t>:</w:t>
      </w:r>
      <w:r w:rsidRPr="00F32DED">
        <w:rPr>
          <w:rFonts w:cs="Abz-2 (Badr)"/>
          <w:sz w:val="28"/>
          <w:szCs w:val="28"/>
          <w:rtl/>
          <w:lang w:bidi="fa-IR"/>
        </w:rPr>
        <w:t>‌ فقال</w:t>
      </w:r>
      <w:r>
        <w:rPr>
          <w:rFonts w:cs="Abz-2 (Badr)" w:hint="cs"/>
          <w:sz w:val="28"/>
          <w:szCs w:val="28"/>
          <w:rtl/>
          <w:lang w:bidi="fa-IR"/>
        </w:rPr>
        <w:t>:</w:t>
      </w:r>
      <w:r w:rsidRPr="00F32DED">
        <w:rPr>
          <w:rFonts w:cs="Abz-2 (Badr)"/>
          <w:sz w:val="28"/>
          <w:szCs w:val="28"/>
          <w:rtl/>
          <w:lang w:bidi="fa-IR"/>
        </w:rPr>
        <w:t>‌ قد تفتق‌ البكر من‌ المركب‌ ومن‌ النزوة</w:t>
      </w:r>
      <w:r>
        <w:rPr>
          <w:rFonts w:cs="Abz-2 (Badr)" w:hint="cs"/>
          <w:sz w:val="28"/>
          <w:szCs w:val="28"/>
          <w:rtl/>
          <w:lang w:bidi="fa-IR"/>
        </w:rPr>
        <w:t>.»</w:t>
      </w:r>
      <w:r w:rsidRPr="002D27AB">
        <w:rPr>
          <w:rStyle w:val="FootnoteReference"/>
          <w:rFonts w:cs="Abz-2 (Badr)"/>
          <w:sz w:val="28"/>
          <w:szCs w:val="28"/>
          <w:rtl/>
          <w:lang w:bidi="fa-IR"/>
        </w:rPr>
        <w:footnoteReference w:id="11"/>
      </w:r>
    </w:p>
    <w:p w14:paraId="3C01241C" w14:textId="6ECD7EF1" w:rsidR="00D26E3A" w:rsidRDefault="00D26E3A" w:rsidP="0003525A">
      <w:pPr>
        <w:widowControl w:val="0"/>
        <w:bidi/>
        <w:spacing w:after="0" w:line="266" w:lineRule="auto"/>
        <w:ind w:firstLine="284"/>
        <w:jc w:val="both"/>
        <w:rPr>
          <w:rFonts w:cs="Abz-2 (Badr)"/>
          <w:sz w:val="28"/>
          <w:szCs w:val="28"/>
          <w:rtl/>
          <w:lang w:bidi="fa-IR"/>
        </w:rPr>
      </w:pPr>
      <w:r>
        <w:rPr>
          <w:rFonts w:cs="Abz-2 (Badr)" w:hint="cs"/>
          <w:sz w:val="28"/>
          <w:szCs w:val="28"/>
          <w:rtl/>
          <w:lang w:bidi="fa-IR"/>
        </w:rPr>
        <w:t>ظاهر از روايت اين است که سائل، از اين باب که به واسطه ثيبوبت زن احتمال زنای او را می</w:t>
      </w:r>
      <w:r>
        <w:rPr>
          <w:rFonts w:cs="Abz-2 (Badr)"/>
          <w:sz w:val="28"/>
          <w:szCs w:val="28"/>
          <w:rtl/>
          <w:lang w:bidi="fa-IR"/>
        </w:rPr>
        <w:softHyphen/>
      </w:r>
      <w:r>
        <w:rPr>
          <w:rFonts w:cs="Abz-2 (Badr)" w:hint="cs"/>
          <w:sz w:val="28"/>
          <w:szCs w:val="28"/>
          <w:rtl/>
          <w:lang w:bidi="fa-IR"/>
        </w:rPr>
        <w:t>داده، از حضرت در خصوص جواز استمرار نکاح زوج با چنين زنی سؤال کرده است و سؤال وی از جواز يا عدم جواز فسخ نبوده است.</w:t>
      </w:r>
    </w:p>
    <w:p w14:paraId="01D9E7D3" w14:textId="36BF7FBF" w:rsidR="0003525A" w:rsidRDefault="00D26E3A" w:rsidP="00D26E3A">
      <w:pPr>
        <w:widowControl w:val="0"/>
        <w:bidi/>
        <w:spacing w:after="0" w:line="266" w:lineRule="auto"/>
        <w:ind w:firstLine="284"/>
        <w:jc w:val="both"/>
        <w:rPr>
          <w:rFonts w:cs="Abz-2 (Badr)"/>
          <w:sz w:val="28"/>
          <w:szCs w:val="28"/>
          <w:rtl/>
          <w:lang w:bidi="fa-IR"/>
        </w:rPr>
      </w:pPr>
      <w:r>
        <w:rPr>
          <w:rFonts w:cs="Abz-2 (Badr)" w:hint="cs"/>
          <w:sz w:val="28"/>
          <w:szCs w:val="28"/>
          <w:rtl/>
          <w:lang w:bidi="fa-IR"/>
        </w:rPr>
        <w:lastRenderedPageBreak/>
        <w:t>از پاسخ امام(ع) نيز اين گونه ظاهر می</w:t>
      </w:r>
      <w:r>
        <w:rPr>
          <w:rFonts w:cs="Abz-2 (Badr)"/>
          <w:sz w:val="28"/>
          <w:szCs w:val="28"/>
          <w:rtl/>
          <w:lang w:bidi="fa-IR"/>
        </w:rPr>
        <w:softHyphen/>
      </w:r>
      <w:r>
        <w:rPr>
          <w:rFonts w:cs="Abz-2 (Badr)" w:hint="cs"/>
          <w:sz w:val="28"/>
          <w:szCs w:val="28"/>
          <w:rtl/>
          <w:lang w:bidi="fa-IR"/>
        </w:rPr>
        <w:t>شود که حضرت(ه) در صدد بيان عدم احراز موضوع بوده</w:t>
      </w:r>
      <w:r>
        <w:rPr>
          <w:rFonts w:cs="Abz-2 (Badr)"/>
          <w:sz w:val="28"/>
          <w:szCs w:val="28"/>
          <w:rtl/>
          <w:lang w:bidi="fa-IR"/>
        </w:rPr>
        <w:softHyphen/>
      </w:r>
      <w:r>
        <w:rPr>
          <w:rFonts w:cs="Abz-2 (Badr)" w:hint="cs"/>
          <w:sz w:val="28"/>
          <w:szCs w:val="28"/>
          <w:rtl/>
          <w:lang w:bidi="fa-IR"/>
        </w:rPr>
        <w:t>اند، بدين معنا که چون</w:t>
      </w:r>
      <w:r w:rsidR="0003525A">
        <w:rPr>
          <w:rFonts w:cs="Abz-2 (Badr)" w:hint="cs"/>
          <w:sz w:val="28"/>
          <w:szCs w:val="28"/>
          <w:rtl/>
          <w:lang w:bidi="fa-IR"/>
        </w:rPr>
        <w:t xml:space="preserve"> از عبارت سائل که گفته است: «فوجدها ثيّباً» اين گونه معلوم می</w:t>
      </w:r>
      <w:r w:rsidR="0003525A">
        <w:rPr>
          <w:rFonts w:cs="Abz-2 (Badr)"/>
          <w:sz w:val="28"/>
          <w:szCs w:val="28"/>
          <w:rtl/>
          <w:lang w:bidi="fa-IR"/>
        </w:rPr>
        <w:softHyphen/>
      </w:r>
      <w:r w:rsidR="0003525A">
        <w:rPr>
          <w:rFonts w:cs="Abz-2 (Badr)" w:hint="cs"/>
          <w:sz w:val="28"/>
          <w:szCs w:val="28"/>
          <w:rtl/>
          <w:lang w:bidi="fa-IR"/>
        </w:rPr>
        <w:t>شود که دليلی که برای ثيّب بودن زن داشته، چيزی بجز فقدان پرده بکارت نبوده است</w:t>
      </w:r>
      <w:r>
        <w:rPr>
          <w:rFonts w:cs="Abz-2 (Badr)" w:hint="cs"/>
          <w:sz w:val="28"/>
          <w:szCs w:val="28"/>
          <w:rtl/>
          <w:lang w:bidi="fa-IR"/>
        </w:rPr>
        <w:t>،</w:t>
      </w:r>
      <w:r w:rsidR="0003525A">
        <w:rPr>
          <w:rFonts w:cs="Abz-2 (Badr)" w:hint="cs"/>
          <w:sz w:val="28"/>
          <w:szCs w:val="28"/>
          <w:rtl/>
          <w:lang w:bidi="fa-IR"/>
        </w:rPr>
        <w:t xml:space="preserve"> امام(ع) در مقام اشکال بر اين دليل می</w:t>
      </w:r>
      <w:r w:rsidR="0003525A">
        <w:rPr>
          <w:rFonts w:cs="Abz-2 (Badr)"/>
          <w:sz w:val="28"/>
          <w:szCs w:val="28"/>
          <w:rtl/>
          <w:lang w:bidi="fa-IR"/>
        </w:rPr>
        <w:softHyphen/>
      </w:r>
      <w:r w:rsidR="0003525A">
        <w:rPr>
          <w:rFonts w:cs="Abz-2 (Badr)" w:hint="cs"/>
          <w:sz w:val="28"/>
          <w:szCs w:val="28"/>
          <w:rtl/>
          <w:lang w:bidi="fa-IR"/>
        </w:rPr>
        <w:t>فرمايد: عدم وجود پرده بکارت دلالت بر ثيبوبت ندارد، چون امکان دارد که به واسطه امری غير از دخول ازاله شده باشد.</w:t>
      </w:r>
    </w:p>
    <w:p w14:paraId="1F9F2D52" w14:textId="77777777" w:rsidR="0003525A" w:rsidRDefault="0003525A" w:rsidP="0003525A">
      <w:pPr>
        <w:widowControl w:val="0"/>
        <w:bidi/>
        <w:spacing w:after="0" w:line="266" w:lineRule="auto"/>
        <w:ind w:firstLine="284"/>
        <w:jc w:val="both"/>
        <w:rPr>
          <w:rFonts w:cs="Abz-2 (Badr)"/>
          <w:sz w:val="28"/>
          <w:szCs w:val="28"/>
          <w:rtl/>
          <w:lang w:bidi="fa-IR"/>
        </w:rPr>
      </w:pPr>
      <w:r>
        <w:rPr>
          <w:rFonts w:cs="Abz-2 (Badr)" w:hint="cs"/>
          <w:sz w:val="28"/>
          <w:szCs w:val="28"/>
          <w:rtl/>
          <w:lang w:bidi="fa-IR"/>
        </w:rPr>
        <w:t>در واقع مستفاد از روايت اين است که هرچند وجود پرده بکارت اماره شرعی بر بکارت است اما عدم آن اماره شرعی بر ثيبوبت نيست.</w:t>
      </w:r>
    </w:p>
    <w:p w14:paraId="389A67F3" w14:textId="77777777" w:rsidR="0003525A" w:rsidRDefault="0003525A" w:rsidP="0003525A">
      <w:pPr>
        <w:widowControl w:val="0"/>
        <w:bidi/>
        <w:spacing w:after="0" w:line="266" w:lineRule="auto"/>
        <w:ind w:firstLine="284"/>
        <w:jc w:val="both"/>
        <w:rPr>
          <w:rFonts w:cs="Abz-2 (Badr)"/>
          <w:sz w:val="28"/>
          <w:szCs w:val="28"/>
          <w:rtl/>
          <w:lang w:bidi="fa-IR"/>
        </w:rPr>
      </w:pPr>
      <w:r>
        <w:rPr>
          <w:rFonts w:cs="Abz-2 (Badr)" w:hint="cs"/>
          <w:sz w:val="28"/>
          <w:szCs w:val="28"/>
          <w:rtl/>
          <w:lang w:bidi="fa-IR"/>
        </w:rPr>
        <w:t>بنابر اين با عدم احراز تدليس، وجهی برای اين که زوج حق فسخ داشته باشد وجود ندارد.</w:t>
      </w:r>
    </w:p>
    <w:p w14:paraId="1692B8DC" w14:textId="77777777" w:rsidR="0003525A" w:rsidRDefault="0003525A" w:rsidP="0003525A">
      <w:pPr>
        <w:widowControl w:val="0"/>
        <w:bidi/>
        <w:spacing w:after="0" w:line="266" w:lineRule="auto"/>
        <w:ind w:firstLine="284"/>
        <w:jc w:val="both"/>
        <w:rPr>
          <w:rFonts w:cs="Abz-2 (Badr)"/>
          <w:sz w:val="28"/>
          <w:szCs w:val="28"/>
          <w:rtl/>
          <w:lang w:bidi="fa-IR"/>
        </w:rPr>
      </w:pPr>
      <w:r>
        <w:rPr>
          <w:rFonts w:cs="Abz-2 (Badr)" w:hint="cs"/>
          <w:sz w:val="28"/>
          <w:szCs w:val="28"/>
          <w:rtl/>
          <w:lang w:bidi="fa-IR"/>
        </w:rPr>
        <w:t xml:space="preserve">2 ـ صحيحة </w:t>
      </w:r>
      <w:r w:rsidRPr="002F4C34">
        <w:rPr>
          <w:rFonts w:cs="Abz-2 (Badr)"/>
          <w:sz w:val="28"/>
          <w:szCs w:val="28"/>
          <w:rtl/>
          <w:lang w:bidi="fa-IR"/>
        </w:rPr>
        <w:t>محمّد بن‌ جزّك‌</w:t>
      </w:r>
      <w:r>
        <w:rPr>
          <w:rFonts w:cs="Abz-2 (Badr)" w:hint="cs"/>
          <w:sz w:val="28"/>
          <w:szCs w:val="28"/>
          <w:rtl/>
          <w:lang w:bidi="fa-IR"/>
        </w:rPr>
        <w:t>،</w:t>
      </w:r>
      <w:r w:rsidRPr="002F4C34">
        <w:rPr>
          <w:rFonts w:cs="Abz-2 (Badr)"/>
          <w:sz w:val="28"/>
          <w:szCs w:val="28"/>
          <w:rtl/>
          <w:lang w:bidi="fa-IR"/>
        </w:rPr>
        <w:t xml:space="preserve"> قال‌: </w:t>
      </w:r>
      <w:r>
        <w:rPr>
          <w:rFonts w:cs="Abz-2 (Badr)" w:hint="cs"/>
          <w:sz w:val="28"/>
          <w:szCs w:val="28"/>
          <w:rtl/>
          <w:lang w:bidi="fa-IR"/>
        </w:rPr>
        <w:t>«</w:t>
      </w:r>
      <w:r w:rsidRPr="002F4C34">
        <w:rPr>
          <w:rFonts w:cs="Abz-2 (Badr)"/>
          <w:sz w:val="28"/>
          <w:szCs w:val="28"/>
          <w:rtl/>
          <w:lang w:bidi="fa-IR"/>
        </w:rPr>
        <w:t>كتبت‌ إلى أبي الحسن</w:t>
      </w:r>
      <w:r>
        <w:rPr>
          <w:rFonts w:cs="Abz-2 (Badr)" w:hint="cs"/>
          <w:sz w:val="28"/>
          <w:szCs w:val="28"/>
          <w:rtl/>
          <w:lang w:bidi="fa-IR"/>
        </w:rPr>
        <w:t>(ع)</w:t>
      </w:r>
      <w:r w:rsidRPr="002F4C34">
        <w:rPr>
          <w:rFonts w:cs="Abz-2 (Badr)"/>
          <w:sz w:val="28"/>
          <w:szCs w:val="28"/>
          <w:rtl/>
          <w:lang w:bidi="fa-IR"/>
        </w:rPr>
        <w:t xml:space="preserve"> أسأله‌ عن‌ رجل‌ تزوّج‌ جارية‌ بكرا</w:t>
      </w:r>
      <w:r>
        <w:rPr>
          <w:rFonts w:cs="Abz-2 (Badr)" w:hint="cs"/>
          <w:sz w:val="28"/>
          <w:szCs w:val="28"/>
          <w:rtl/>
          <w:lang w:bidi="fa-IR"/>
        </w:rPr>
        <w:t>ً</w:t>
      </w:r>
      <w:r w:rsidRPr="002F4C34">
        <w:rPr>
          <w:rFonts w:cs="Abz-2 (Badr)"/>
          <w:sz w:val="28"/>
          <w:szCs w:val="28"/>
          <w:rtl/>
          <w:lang w:bidi="fa-IR"/>
        </w:rPr>
        <w:t xml:space="preserve"> فوجدها ثيّبا</w:t>
      </w:r>
      <w:r>
        <w:rPr>
          <w:rFonts w:cs="Abz-2 (Badr)" w:hint="cs"/>
          <w:sz w:val="28"/>
          <w:szCs w:val="28"/>
          <w:rtl/>
          <w:lang w:bidi="fa-IR"/>
        </w:rPr>
        <w:t>ً،</w:t>
      </w:r>
      <w:r w:rsidRPr="002F4C34">
        <w:rPr>
          <w:rFonts w:cs="Abz-2 (Badr)"/>
          <w:sz w:val="28"/>
          <w:szCs w:val="28"/>
          <w:rtl/>
          <w:lang w:bidi="fa-IR"/>
        </w:rPr>
        <w:t xml:space="preserve"> هل‌ يجب‌ لها الصداق‌ وافيا</w:t>
      </w:r>
      <w:r>
        <w:rPr>
          <w:rFonts w:cs="Abz-2 (Badr)" w:hint="cs"/>
          <w:sz w:val="28"/>
          <w:szCs w:val="28"/>
          <w:rtl/>
          <w:lang w:bidi="fa-IR"/>
        </w:rPr>
        <w:t>ً</w:t>
      </w:r>
      <w:r w:rsidRPr="002F4C34">
        <w:rPr>
          <w:rFonts w:cs="Abz-2 (Badr)"/>
          <w:sz w:val="28"/>
          <w:szCs w:val="28"/>
          <w:rtl/>
          <w:lang w:bidi="fa-IR"/>
        </w:rPr>
        <w:t xml:space="preserve"> أم‌ ينتقص</w:t>
      </w:r>
      <w:r>
        <w:rPr>
          <w:rFonts w:cs="Abz-2 (Badr)" w:hint="cs"/>
          <w:sz w:val="28"/>
          <w:szCs w:val="28"/>
          <w:rtl/>
          <w:lang w:bidi="fa-IR"/>
        </w:rPr>
        <w:t>؟</w:t>
      </w:r>
      <w:r w:rsidRPr="002F4C34">
        <w:rPr>
          <w:rFonts w:cs="Abz-2 (Badr)"/>
          <w:sz w:val="28"/>
          <w:szCs w:val="28"/>
          <w:rtl/>
          <w:lang w:bidi="fa-IR"/>
        </w:rPr>
        <w:t xml:space="preserve"> قال</w:t>
      </w:r>
      <w:r>
        <w:rPr>
          <w:rFonts w:cs="Abz-2 (Badr)" w:hint="cs"/>
          <w:sz w:val="28"/>
          <w:szCs w:val="28"/>
          <w:rtl/>
          <w:lang w:bidi="fa-IR"/>
        </w:rPr>
        <w:t>:</w:t>
      </w:r>
      <w:r w:rsidRPr="002F4C34">
        <w:rPr>
          <w:rFonts w:cs="Abz-2 (Badr)"/>
          <w:sz w:val="28"/>
          <w:szCs w:val="28"/>
          <w:rtl/>
          <w:lang w:bidi="fa-IR"/>
        </w:rPr>
        <w:t>‌ ينتقص‌.</w:t>
      </w:r>
      <w:r>
        <w:rPr>
          <w:rFonts w:cs="Abz-2 (Badr)" w:hint="cs"/>
          <w:sz w:val="28"/>
          <w:szCs w:val="28"/>
          <w:rtl/>
          <w:lang w:bidi="fa-IR"/>
        </w:rPr>
        <w:t>»</w:t>
      </w:r>
      <w:r w:rsidRPr="002D27AB">
        <w:rPr>
          <w:rStyle w:val="FootnoteReference"/>
          <w:rFonts w:cs="Abz-2 (Badr)"/>
          <w:sz w:val="28"/>
          <w:szCs w:val="28"/>
          <w:rtl/>
          <w:lang w:bidi="fa-IR"/>
        </w:rPr>
        <w:footnoteReference w:id="12"/>
      </w:r>
    </w:p>
    <w:p w14:paraId="15CA92C3" w14:textId="77777777" w:rsidR="0003525A" w:rsidRDefault="0003525A" w:rsidP="0003525A">
      <w:pPr>
        <w:widowControl w:val="0"/>
        <w:bidi/>
        <w:spacing w:after="0"/>
        <w:ind w:firstLine="284"/>
        <w:jc w:val="both"/>
        <w:rPr>
          <w:rFonts w:cs="Abz-2 (Badr)"/>
          <w:color w:val="000000" w:themeColor="text1"/>
          <w:sz w:val="28"/>
          <w:szCs w:val="28"/>
          <w:rtl/>
          <w:lang w:bidi="fa-IR"/>
        </w:rPr>
      </w:pP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اين روايت نيز دلالت بر جواز فسخ يا عدم آن ندارد، بلکه فقط امکان کم کردن مهر زن در آن بيان شده است که در ادامه به آن خواهيم پرداخت.</w:t>
      </w:r>
    </w:p>
    <w:p w14:paraId="176CF738" w14:textId="77777777" w:rsidR="0003525A" w:rsidRDefault="0003525A" w:rsidP="0003525A">
      <w:pPr>
        <w:widowControl w:val="0"/>
        <w:bidi/>
        <w:spacing w:after="0"/>
        <w:ind w:firstLine="284"/>
        <w:jc w:val="both"/>
        <w:rPr>
          <w:rFonts w:cs="Abz-2 (Badr)"/>
          <w:color w:val="000000" w:themeColor="text1"/>
          <w:sz w:val="28"/>
          <w:szCs w:val="28"/>
          <w:rtl/>
          <w:lang w:bidi="fa-IR"/>
        </w:rPr>
      </w:pP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بنابر اين روايتی در خصوص مقام که دلالت بر جواز يا عدم جواز فسخ نکاح با تدليس زوجه داشته باشد، وجود ندارد.</w:t>
      </w:r>
    </w:p>
    <w:p w14:paraId="4A54D18C" w14:textId="77777777" w:rsidR="0003525A" w:rsidRPr="00F85971" w:rsidRDefault="0003525A" w:rsidP="0003525A">
      <w:pPr>
        <w:widowControl w:val="0"/>
        <w:bidi/>
        <w:spacing w:after="0"/>
        <w:ind w:firstLine="284"/>
        <w:jc w:val="both"/>
        <w:rPr>
          <w:rFonts w:cs="Abz-2 (Badr)"/>
          <w:color w:val="000000" w:themeColor="text1"/>
          <w:sz w:val="28"/>
          <w:szCs w:val="28"/>
          <w:lang w:bidi="fa-IR"/>
        </w:rPr>
      </w:pPr>
      <w:r w:rsidRPr="00F85971">
        <w:rPr>
          <w:rFonts w:cs="Abz-2 (Badr)" w:hint="cs"/>
          <w:color w:val="000000" w:themeColor="text1"/>
          <w:sz w:val="28"/>
          <w:szCs w:val="28"/>
          <w:rtl/>
        </w:rPr>
        <w:t>اما اقوال فقها</w:t>
      </w:r>
      <w:r w:rsidRPr="00F85971">
        <w:rPr>
          <w:rFonts w:cs="Abz-2 (Badr)" w:hint="cs"/>
          <w:color w:val="000000" w:themeColor="text1"/>
          <w:sz w:val="28"/>
          <w:szCs w:val="28"/>
          <w:rtl/>
          <w:lang w:bidi="fa-IR"/>
        </w:rPr>
        <w:t xml:space="preserve">ء در مسأله به </w:t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دو</w:t>
      </w:r>
      <w:r w:rsidRPr="00F85971">
        <w:rPr>
          <w:rFonts w:cs="Abz-2 (Badr)" w:hint="cs"/>
          <w:color w:val="000000" w:themeColor="text1"/>
          <w:sz w:val="28"/>
          <w:szCs w:val="28"/>
          <w:rtl/>
          <w:lang w:bidi="fa-IR"/>
        </w:rPr>
        <w:t xml:space="preserve"> دسته تقسيم می</w:t>
      </w:r>
      <w:r w:rsidRPr="00F85971">
        <w:rPr>
          <w:rFonts w:cs="Abz-2 (Badr)" w:hint="cs"/>
          <w:color w:val="000000" w:themeColor="text1"/>
          <w:sz w:val="28"/>
          <w:szCs w:val="28"/>
          <w:cs/>
          <w:lang w:bidi="fa-IR"/>
        </w:rPr>
        <w:t>‎</w:t>
      </w:r>
      <w:r w:rsidRPr="00F85971">
        <w:rPr>
          <w:rFonts w:cs="Abz-2 (Badr)" w:hint="cs"/>
          <w:color w:val="000000" w:themeColor="text1"/>
          <w:sz w:val="28"/>
          <w:szCs w:val="28"/>
          <w:rtl/>
          <w:lang w:bidi="fa-IR"/>
        </w:rPr>
        <w:t>شود:</w:t>
      </w:r>
    </w:p>
    <w:p w14:paraId="32F7B629" w14:textId="77777777" w:rsidR="0003525A" w:rsidRDefault="0003525A" w:rsidP="0003525A">
      <w:pPr>
        <w:widowControl w:val="0"/>
        <w:bidi/>
        <w:spacing w:after="0"/>
        <w:ind w:firstLine="284"/>
        <w:jc w:val="both"/>
        <w:rPr>
          <w:rFonts w:cs="Abz-2 (Badr)"/>
          <w:color w:val="000000" w:themeColor="text1"/>
          <w:sz w:val="28"/>
          <w:szCs w:val="28"/>
          <w:rtl/>
          <w:lang w:bidi="fa-IR"/>
        </w:rPr>
      </w:pP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قول اول: عدم جواز فسخ نکاح</w:t>
      </w:r>
    </w:p>
    <w:p w14:paraId="6414159D" w14:textId="77777777" w:rsidR="0003525A" w:rsidRDefault="0003525A" w:rsidP="0003525A">
      <w:pPr>
        <w:widowControl w:val="0"/>
        <w:bidi/>
        <w:spacing w:after="0"/>
        <w:ind w:firstLine="284"/>
        <w:jc w:val="both"/>
        <w:rPr>
          <w:rFonts w:cs="Abz-2 (Badr)"/>
          <w:color w:val="000000" w:themeColor="text1"/>
          <w:sz w:val="28"/>
          <w:szCs w:val="28"/>
          <w:rtl/>
          <w:lang w:bidi="fa-IR"/>
        </w:rPr>
      </w:pP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قال الحلبي في الکافي: «</w:t>
      </w:r>
      <w:r w:rsidRPr="00166AB7">
        <w:rPr>
          <w:rFonts w:cs="Abz-2 (Badr)"/>
          <w:color w:val="000000" w:themeColor="text1"/>
          <w:sz w:val="28"/>
          <w:szCs w:val="28"/>
          <w:rtl/>
          <w:lang w:bidi="fa-IR"/>
        </w:rPr>
        <w:t>و</w:t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إ</w:t>
      </w:r>
      <w:r w:rsidRPr="00166AB7">
        <w:rPr>
          <w:rFonts w:cs="Abz-2 (Badr)"/>
          <w:color w:val="000000" w:themeColor="text1"/>
          <w:sz w:val="28"/>
          <w:szCs w:val="28"/>
          <w:rtl/>
          <w:lang w:bidi="fa-IR"/>
        </w:rPr>
        <w:t>ن تزو</w:t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ّ</w:t>
      </w:r>
      <w:r w:rsidRPr="00166AB7">
        <w:rPr>
          <w:rFonts w:cs="Abz-2 (Badr)"/>
          <w:color w:val="000000" w:themeColor="text1"/>
          <w:sz w:val="28"/>
          <w:szCs w:val="28"/>
          <w:rtl/>
          <w:lang w:bidi="fa-IR"/>
        </w:rPr>
        <w:t>ج بكرا</w:t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ً</w:t>
      </w:r>
      <w:r w:rsidRPr="00166AB7">
        <w:rPr>
          <w:rFonts w:cs="Abz-2 (Badr)"/>
          <w:color w:val="000000" w:themeColor="text1"/>
          <w:sz w:val="28"/>
          <w:szCs w:val="28"/>
          <w:rtl/>
          <w:lang w:bidi="fa-IR"/>
        </w:rPr>
        <w:t xml:space="preserve"> فوجدها ثي</w:t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ّ</w:t>
      </w:r>
      <w:r w:rsidRPr="00166AB7">
        <w:rPr>
          <w:rFonts w:cs="Abz-2 (Badr)"/>
          <w:color w:val="000000" w:themeColor="text1"/>
          <w:sz w:val="28"/>
          <w:szCs w:val="28"/>
          <w:rtl/>
          <w:lang w:bidi="fa-IR"/>
        </w:rPr>
        <w:t>با</w:t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ً</w:t>
      </w:r>
      <w:r w:rsidRPr="00166AB7">
        <w:rPr>
          <w:rFonts w:cs="Abz-2 (Badr)"/>
          <w:color w:val="000000" w:themeColor="text1"/>
          <w:sz w:val="28"/>
          <w:szCs w:val="28"/>
          <w:rtl/>
          <w:lang w:bidi="fa-IR"/>
        </w:rPr>
        <w:t xml:space="preserve"> فأقر</w:t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ّ</w:t>
      </w:r>
      <w:r w:rsidRPr="00166AB7">
        <w:rPr>
          <w:rFonts w:cs="Abz-2 (Badr)"/>
          <w:color w:val="000000" w:themeColor="text1"/>
          <w:sz w:val="28"/>
          <w:szCs w:val="28"/>
          <w:rtl/>
          <w:lang w:bidi="fa-IR"/>
        </w:rPr>
        <w:t>ت الزوجة بذلك حسب أو قامت به البي</w:t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ّ</w:t>
      </w:r>
      <w:r w:rsidRPr="00166AB7">
        <w:rPr>
          <w:rFonts w:cs="Abz-2 (Badr)"/>
          <w:color w:val="000000" w:themeColor="text1"/>
          <w:sz w:val="28"/>
          <w:szCs w:val="28"/>
          <w:rtl/>
          <w:lang w:bidi="fa-IR"/>
        </w:rPr>
        <w:t>نة</w:t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،</w:t>
      </w:r>
      <w:r w:rsidRPr="00166AB7">
        <w:rPr>
          <w:rFonts w:cs="Abz-2 (Badr)"/>
          <w:color w:val="000000" w:themeColor="text1"/>
          <w:sz w:val="28"/>
          <w:szCs w:val="28"/>
          <w:rtl/>
          <w:lang w:bidi="fa-IR"/>
        </w:rPr>
        <w:t xml:space="preserve"> فليس بعيب يوجب الرد</w:t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ّ</w:t>
      </w:r>
      <w:r w:rsidRPr="00166AB7">
        <w:rPr>
          <w:rFonts w:cs="Abz-2 (Badr)"/>
          <w:color w:val="000000" w:themeColor="text1"/>
          <w:sz w:val="28"/>
          <w:szCs w:val="28"/>
          <w:rtl/>
          <w:lang w:bidi="fa-IR"/>
        </w:rPr>
        <w:t xml:space="preserve"> ولا نقصانا</w:t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ً</w:t>
      </w:r>
      <w:r w:rsidRPr="00166AB7">
        <w:rPr>
          <w:rFonts w:cs="Abz-2 (Badr)"/>
          <w:color w:val="000000" w:themeColor="text1"/>
          <w:sz w:val="28"/>
          <w:szCs w:val="28"/>
          <w:rtl/>
          <w:lang w:bidi="fa-IR"/>
        </w:rPr>
        <w:t xml:space="preserve"> في المهر</w:t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.</w:t>
      </w:r>
      <w:r w:rsidRPr="00166AB7">
        <w:rPr>
          <w:rFonts w:cs="Abz-2 (Badr)"/>
          <w:color w:val="000000" w:themeColor="text1"/>
          <w:sz w:val="28"/>
          <w:szCs w:val="28"/>
          <w:rtl/>
          <w:lang w:bidi="fa-IR"/>
        </w:rPr>
        <w:t xml:space="preserve"> و</w:t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إ</w:t>
      </w:r>
      <w:r w:rsidRPr="00166AB7">
        <w:rPr>
          <w:rFonts w:cs="Abz-2 (Badr)"/>
          <w:color w:val="000000" w:themeColor="text1"/>
          <w:sz w:val="28"/>
          <w:szCs w:val="28"/>
          <w:rtl/>
          <w:lang w:bidi="fa-IR"/>
        </w:rPr>
        <w:t>ن فقدت البي</w:t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ّ</w:t>
      </w:r>
      <w:r w:rsidRPr="00166AB7">
        <w:rPr>
          <w:rFonts w:cs="Abz-2 (Badr)"/>
          <w:color w:val="000000" w:themeColor="text1"/>
          <w:sz w:val="28"/>
          <w:szCs w:val="28"/>
          <w:rtl/>
          <w:lang w:bidi="fa-IR"/>
        </w:rPr>
        <w:t>نة والإقرار فقذفها الزوج بذلك عز</w:t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ّ</w:t>
      </w:r>
      <w:r w:rsidRPr="00166AB7">
        <w:rPr>
          <w:rFonts w:cs="Abz-2 (Badr)"/>
          <w:color w:val="000000" w:themeColor="text1"/>
          <w:sz w:val="28"/>
          <w:szCs w:val="28"/>
          <w:rtl/>
          <w:lang w:bidi="fa-IR"/>
        </w:rPr>
        <w:t>ر</w:t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.»</w:t>
      </w:r>
      <w:r w:rsidRPr="002D27AB">
        <w:rPr>
          <w:rStyle w:val="FootnoteReference"/>
          <w:rFonts w:cs="Abz-2 (Badr)"/>
          <w:sz w:val="28"/>
          <w:szCs w:val="28"/>
          <w:rtl/>
          <w:lang w:bidi="fa-IR"/>
        </w:rPr>
        <w:footnoteReference w:id="13"/>
      </w:r>
    </w:p>
    <w:p w14:paraId="718E1641" w14:textId="77777777" w:rsidR="0003525A" w:rsidRDefault="0003525A" w:rsidP="0003525A">
      <w:pPr>
        <w:widowControl w:val="0"/>
        <w:bidi/>
        <w:spacing w:after="0"/>
        <w:ind w:firstLine="284"/>
        <w:jc w:val="both"/>
        <w:rPr>
          <w:rFonts w:cs="Abz-2 (Badr)"/>
          <w:color w:val="000000" w:themeColor="text1"/>
          <w:sz w:val="28"/>
          <w:szCs w:val="28"/>
          <w:rtl/>
          <w:lang w:bidi="fa-IR"/>
        </w:rPr>
      </w:pP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قال الشيخ في النهاية: «</w:t>
      </w:r>
      <w:r w:rsidRPr="005A5937">
        <w:rPr>
          <w:rFonts w:cs="Abz-2 (Badr)"/>
          <w:color w:val="000000" w:themeColor="text1"/>
          <w:sz w:val="28"/>
          <w:szCs w:val="28"/>
          <w:rtl/>
          <w:lang w:bidi="fa-IR"/>
        </w:rPr>
        <w:t>إذا عقد على امرأة على أنّها بكر فوجدها ثيّبا</w:t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ً</w:t>
      </w:r>
      <w:r w:rsidRPr="005A5937">
        <w:rPr>
          <w:rFonts w:cs="Abz-2 (Badr)"/>
          <w:color w:val="000000" w:themeColor="text1"/>
          <w:sz w:val="28"/>
          <w:szCs w:val="28"/>
          <w:rtl/>
          <w:lang w:bidi="fa-IR"/>
        </w:rPr>
        <w:t>، لم يكن له ردّها، غير أنّ‌ له أن ينقص من مهرها شيئا</w:t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ً</w:t>
      </w:r>
      <w:r w:rsidRPr="005A5937">
        <w:rPr>
          <w:rFonts w:cs="Abz-2 (Badr)"/>
          <w:color w:val="000000" w:themeColor="text1"/>
          <w:sz w:val="28"/>
          <w:szCs w:val="28"/>
          <w:rtl/>
          <w:lang w:bidi="fa-IR"/>
        </w:rPr>
        <w:t>.</w:t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»</w:t>
      </w:r>
      <w:r w:rsidRPr="002D27AB">
        <w:rPr>
          <w:rStyle w:val="FootnoteReference"/>
          <w:rFonts w:cs="Abz-2 (Badr)"/>
          <w:sz w:val="28"/>
          <w:szCs w:val="28"/>
          <w:rtl/>
          <w:lang w:bidi="fa-IR"/>
        </w:rPr>
        <w:footnoteReference w:id="14"/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 xml:space="preserve"> ومثله کلام ابن إدريس في السرائر.</w:t>
      </w:r>
      <w:r w:rsidRPr="002D27AB">
        <w:rPr>
          <w:rStyle w:val="FootnoteReference"/>
          <w:rFonts w:cs="Abz-2 (Badr)"/>
          <w:sz w:val="28"/>
          <w:szCs w:val="28"/>
          <w:rtl/>
          <w:lang w:bidi="fa-IR"/>
        </w:rPr>
        <w:footnoteReference w:id="15"/>
      </w:r>
    </w:p>
    <w:p w14:paraId="1212DE9A" w14:textId="7418730E" w:rsidR="0003525A" w:rsidRPr="007417C9" w:rsidRDefault="0003525A" w:rsidP="00D26E3A">
      <w:pPr>
        <w:widowControl w:val="0"/>
        <w:bidi/>
        <w:spacing w:after="0"/>
        <w:ind w:firstLine="284"/>
        <w:jc w:val="both"/>
        <w:rPr>
          <w:rFonts w:cs="Abz-2 (Badr)"/>
          <w:color w:val="000000" w:themeColor="text1"/>
          <w:sz w:val="28"/>
          <w:szCs w:val="28"/>
          <w:rtl/>
          <w:lang w:bidi="fa-IR"/>
        </w:rPr>
      </w:pP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وقال ابن حمزة: «</w:t>
      </w:r>
      <w:r w:rsidRPr="007417C9">
        <w:rPr>
          <w:rFonts w:cs="Abz-2 (Badr)"/>
          <w:color w:val="000000" w:themeColor="text1"/>
          <w:sz w:val="28"/>
          <w:szCs w:val="28"/>
          <w:rtl/>
          <w:lang w:bidi="fa-IR"/>
        </w:rPr>
        <w:t>ما سوى ذلك لا يؤث</w:t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ّ</w:t>
      </w:r>
      <w:r w:rsidRPr="007417C9">
        <w:rPr>
          <w:rFonts w:cs="Abz-2 (Badr)"/>
          <w:color w:val="000000" w:themeColor="text1"/>
          <w:sz w:val="28"/>
          <w:szCs w:val="28"/>
          <w:rtl/>
          <w:lang w:bidi="fa-IR"/>
        </w:rPr>
        <w:t>ر في الفسخ</w:t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 xml:space="preserve">... </w:t>
      </w:r>
      <w:r w:rsidRPr="007417C9">
        <w:rPr>
          <w:rFonts w:cs="Abz-2 (Badr)"/>
          <w:color w:val="000000" w:themeColor="text1"/>
          <w:sz w:val="28"/>
          <w:szCs w:val="28"/>
          <w:rtl/>
          <w:lang w:bidi="fa-IR"/>
        </w:rPr>
        <w:t>وإذا عقد عليها على أن</w:t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ّ</w:t>
      </w:r>
      <w:r w:rsidRPr="007417C9">
        <w:rPr>
          <w:rFonts w:cs="Abz-2 (Badr)"/>
          <w:color w:val="000000" w:themeColor="text1"/>
          <w:sz w:val="28"/>
          <w:szCs w:val="28"/>
          <w:rtl/>
          <w:lang w:bidi="fa-IR"/>
        </w:rPr>
        <w:t>ها بكر فوجدها ثي</w:t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ّ</w:t>
      </w:r>
      <w:r w:rsidRPr="007417C9">
        <w:rPr>
          <w:rFonts w:cs="Abz-2 (Badr)"/>
          <w:color w:val="000000" w:themeColor="text1"/>
          <w:sz w:val="28"/>
          <w:szCs w:val="28"/>
          <w:rtl/>
          <w:lang w:bidi="fa-IR"/>
        </w:rPr>
        <w:t>با</w:t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ً</w:t>
      </w:r>
      <w:r w:rsidRPr="007417C9">
        <w:rPr>
          <w:rFonts w:cs="Abz-2 (Badr)"/>
          <w:color w:val="000000" w:themeColor="text1"/>
          <w:sz w:val="28"/>
          <w:szCs w:val="28"/>
          <w:rtl/>
          <w:lang w:bidi="fa-IR"/>
        </w:rPr>
        <w:t xml:space="preserve"> نقص شيئا</w:t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ً</w:t>
      </w:r>
      <w:r w:rsidRPr="007417C9">
        <w:rPr>
          <w:rFonts w:cs="Abz-2 (Badr)"/>
          <w:color w:val="000000" w:themeColor="text1"/>
          <w:sz w:val="28"/>
          <w:szCs w:val="28"/>
          <w:rtl/>
          <w:lang w:bidi="fa-IR"/>
        </w:rPr>
        <w:t xml:space="preserve"> من مهرها إن شاء</w:t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.»</w:t>
      </w:r>
      <w:r w:rsidRPr="002D27AB">
        <w:rPr>
          <w:rStyle w:val="FootnoteReference"/>
          <w:rFonts w:cs="Abz-2 (Badr)"/>
          <w:sz w:val="28"/>
          <w:szCs w:val="28"/>
          <w:rtl/>
          <w:lang w:bidi="fa-IR"/>
        </w:rPr>
        <w:footnoteReference w:id="16"/>
      </w:r>
    </w:p>
    <w:p w14:paraId="1D3EA871" w14:textId="48E7F7A7" w:rsidR="00451E5F" w:rsidRPr="00054C3B" w:rsidRDefault="00451E5F" w:rsidP="0003525A">
      <w:pPr>
        <w:widowControl w:val="0"/>
        <w:bidi/>
        <w:spacing w:after="0" w:line="257" w:lineRule="auto"/>
        <w:ind w:firstLine="284"/>
        <w:jc w:val="both"/>
        <w:rPr>
          <w:rFonts w:cs="Abz-2 (Badr)"/>
          <w:color w:val="000000" w:themeColor="text1"/>
          <w:sz w:val="28"/>
          <w:szCs w:val="28"/>
          <w:lang w:bidi="fa-IR"/>
        </w:rPr>
      </w:pPr>
    </w:p>
    <w:bookmarkEnd w:id="0"/>
    <w:bookmarkEnd w:id="1"/>
    <w:sectPr w:rsidR="00451E5F" w:rsidRPr="00054C3B">
      <w:footerReference w:type="default" r:id="rId7"/>
      <w:footnotePr>
        <w:numRestart w:val="eachPage"/>
      </w:footnote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3A2CA3" w14:textId="77777777" w:rsidR="00F71127" w:rsidRDefault="00F71127" w:rsidP="00F71127">
      <w:pPr>
        <w:spacing w:after="0" w:line="240" w:lineRule="auto"/>
      </w:pPr>
      <w:r>
        <w:separator/>
      </w:r>
    </w:p>
  </w:endnote>
  <w:endnote w:type="continuationSeparator" w:id="0">
    <w:p w14:paraId="49F2F136" w14:textId="77777777" w:rsidR="00F71127" w:rsidRDefault="00F71127" w:rsidP="00F71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or_Nazli">
    <w:altName w:val="Cambria"/>
    <w:panose1 w:val="00000000000000000000"/>
    <w:charset w:val="00"/>
    <w:family w:val="roman"/>
    <w:notTrueType/>
    <w:pitch w:val="default"/>
  </w:font>
  <w:font w:name="QuranTaha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bz-2 (Badr)">
    <w:altName w:val="Arial"/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IE Nassim">
    <w:altName w:val="Cambria"/>
    <w:panose1 w:val="00000000000000000000"/>
    <w:charset w:val="00"/>
    <w:family w:val="roman"/>
    <w:notTrueType/>
    <w:pitch w:val="default"/>
  </w:font>
  <w:font w:name="Nassim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2517991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33E7C43" w14:textId="4C13ECA6" w:rsidR="00A75FB0" w:rsidRDefault="00A75FB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CD4DF43" w14:textId="77777777" w:rsidR="00A75FB0" w:rsidRDefault="00A75FB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461F53" w14:textId="77777777" w:rsidR="00F71127" w:rsidRDefault="00F71127" w:rsidP="00EE25C0">
      <w:pPr>
        <w:bidi/>
        <w:spacing w:after="0" w:line="240" w:lineRule="auto"/>
      </w:pPr>
      <w:r>
        <w:separator/>
      </w:r>
    </w:p>
  </w:footnote>
  <w:footnote w:type="continuationSeparator" w:id="0">
    <w:p w14:paraId="2C11652C" w14:textId="77777777" w:rsidR="00F71127" w:rsidRDefault="00F71127" w:rsidP="00F71127">
      <w:pPr>
        <w:bidi/>
        <w:spacing w:after="0" w:line="240" w:lineRule="auto"/>
      </w:pPr>
      <w:r>
        <w:continuationSeparator/>
      </w:r>
    </w:p>
  </w:footnote>
  <w:footnote w:id="1">
    <w:p w14:paraId="78F27A3B" w14:textId="77777777" w:rsidR="0003525A" w:rsidRPr="002D27AB" w:rsidRDefault="0003525A" w:rsidP="0003525A">
      <w:pPr>
        <w:pStyle w:val="FootnoteText"/>
        <w:bidi/>
        <w:rPr>
          <w:rFonts w:cs="Abz-2 (Badr)"/>
          <w:sz w:val="22"/>
          <w:szCs w:val="22"/>
          <w:rtl/>
          <w:lang w:bidi="fa-IR"/>
        </w:rPr>
      </w:pPr>
      <w:r w:rsidRPr="002D27AB">
        <w:rPr>
          <w:rStyle w:val="FootnoteReference"/>
          <w:rFonts w:cs="Abz-2 (Badr)"/>
          <w:sz w:val="22"/>
          <w:szCs w:val="22"/>
          <w:vertAlign w:val="baseline"/>
        </w:rPr>
        <w:footnoteRef/>
      </w:r>
      <w:r w:rsidRPr="002D27AB">
        <w:rPr>
          <w:rFonts w:cs="Abz-2 (Badr)"/>
          <w:sz w:val="22"/>
          <w:szCs w:val="22"/>
        </w:rPr>
        <w:t xml:space="preserve"> </w:t>
      </w:r>
      <w:r w:rsidRPr="002D27AB">
        <w:rPr>
          <w:rFonts w:cs="Abz-2 (Badr)" w:hint="cs"/>
          <w:sz w:val="22"/>
          <w:szCs w:val="22"/>
          <w:rtl/>
        </w:rPr>
        <w:t xml:space="preserve">ـ </w:t>
      </w:r>
      <w:r>
        <w:rPr>
          <w:rFonts w:cs="Abz-2 (Badr)" w:hint="cs"/>
          <w:sz w:val="22"/>
          <w:szCs w:val="22"/>
          <w:rtl/>
        </w:rPr>
        <w:t>شرائع،ج2،ص266.</w:t>
      </w:r>
    </w:p>
  </w:footnote>
  <w:footnote w:id="2">
    <w:p w14:paraId="094823CC" w14:textId="77777777" w:rsidR="0003525A" w:rsidRPr="002D27AB" w:rsidRDefault="0003525A" w:rsidP="0003525A">
      <w:pPr>
        <w:pStyle w:val="FootnoteText"/>
        <w:bidi/>
        <w:rPr>
          <w:rFonts w:cs="Abz-2 (Badr)"/>
          <w:sz w:val="22"/>
          <w:szCs w:val="22"/>
          <w:rtl/>
          <w:lang w:bidi="fa-IR"/>
        </w:rPr>
      </w:pPr>
      <w:r w:rsidRPr="002D27AB">
        <w:rPr>
          <w:rStyle w:val="FootnoteReference"/>
          <w:rFonts w:cs="Abz-2 (Badr)"/>
          <w:sz w:val="22"/>
          <w:szCs w:val="22"/>
          <w:vertAlign w:val="baseline"/>
        </w:rPr>
        <w:footnoteRef/>
      </w:r>
      <w:r w:rsidRPr="002D27AB">
        <w:rPr>
          <w:rFonts w:cs="Abz-2 (Badr)"/>
          <w:sz w:val="22"/>
          <w:szCs w:val="22"/>
        </w:rPr>
        <w:t xml:space="preserve"> </w:t>
      </w:r>
      <w:r w:rsidRPr="002D27AB">
        <w:rPr>
          <w:rFonts w:cs="Abz-2 (Badr)" w:hint="cs"/>
          <w:sz w:val="22"/>
          <w:szCs w:val="22"/>
          <w:rtl/>
        </w:rPr>
        <w:t xml:space="preserve">ـ </w:t>
      </w:r>
      <w:r>
        <w:rPr>
          <w:rFonts w:cs="Abz-2 (Badr)" w:hint="cs"/>
          <w:sz w:val="22"/>
          <w:szCs w:val="22"/>
          <w:rtl/>
        </w:rPr>
        <w:t>کتاب العين،ج5،ص364 و 365.</w:t>
      </w:r>
    </w:p>
  </w:footnote>
  <w:footnote w:id="3">
    <w:p w14:paraId="2F91EE0D" w14:textId="77777777" w:rsidR="0003525A" w:rsidRPr="002D27AB" w:rsidRDefault="0003525A" w:rsidP="0003525A">
      <w:pPr>
        <w:pStyle w:val="FootnoteText"/>
        <w:bidi/>
        <w:rPr>
          <w:rFonts w:cs="Abz-2 (Badr)"/>
          <w:sz w:val="22"/>
          <w:szCs w:val="22"/>
          <w:rtl/>
          <w:lang w:bidi="fa-IR"/>
        </w:rPr>
      </w:pPr>
      <w:r w:rsidRPr="002D27AB">
        <w:rPr>
          <w:rStyle w:val="FootnoteReference"/>
          <w:rFonts w:cs="Abz-2 (Badr)"/>
          <w:sz w:val="22"/>
          <w:szCs w:val="22"/>
          <w:vertAlign w:val="baseline"/>
        </w:rPr>
        <w:footnoteRef/>
      </w:r>
      <w:r w:rsidRPr="002D27AB">
        <w:rPr>
          <w:rFonts w:cs="Abz-2 (Badr)"/>
          <w:sz w:val="22"/>
          <w:szCs w:val="22"/>
        </w:rPr>
        <w:t xml:space="preserve"> </w:t>
      </w:r>
      <w:r w:rsidRPr="002D27AB">
        <w:rPr>
          <w:rFonts w:cs="Abz-2 (Badr)" w:hint="cs"/>
          <w:sz w:val="22"/>
          <w:szCs w:val="22"/>
          <w:rtl/>
        </w:rPr>
        <w:t xml:space="preserve">ـ </w:t>
      </w:r>
      <w:r>
        <w:rPr>
          <w:rFonts w:cs="Abz-2 (Badr)" w:hint="cs"/>
          <w:sz w:val="22"/>
          <w:szCs w:val="22"/>
          <w:rtl/>
        </w:rPr>
        <w:t>المحيط في اللغة،ج6،ص258 و 259.</w:t>
      </w:r>
    </w:p>
  </w:footnote>
  <w:footnote w:id="4">
    <w:p w14:paraId="0C663142" w14:textId="77777777" w:rsidR="0003525A" w:rsidRPr="002D27AB" w:rsidRDefault="0003525A" w:rsidP="0003525A">
      <w:pPr>
        <w:pStyle w:val="FootnoteText"/>
        <w:bidi/>
        <w:rPr>
          <w:rFonts w:cs="Abz-2 (Badr)"/>
          <w:sz w:val="22"/>
          <w:szCs w:val="22"/>
          <w:rtl/>
          <w:lang w:bidi="fa-IR"/>
        </w:rPr>
      </w:pPr>
      <w:r w:rsidRPr="002D27AB">
        <w:rPr>
          <w:rStyle w:val="FootnoteReference"/>
          <w:rFonts w:cs="Abz-2 (Badr)"/>
          <w:sz w:val="22"/>
          <w:szCs w:val="22"/>
          <w:vertAlign w:val="baseline"/>
        </w:rPr>
        <w:footnoteRef/>
      </w:r>
      <w:r w:rsidRPr="002D27AB">
        <w:rPr>
          <w:rFonts w:cs="Abz-2 (Badr)"/>
          <w:sz w:val="22"/>
          <w:szCs w:val="22"/>
        </w:rPr>
        <w:t xml:space="preserve"> </w:t>
      </w:r>
      <w:r w:rsidRPr="002D27AB">
        <w:rPr>
          <w:rFonts w:cs="Abz-2 (Badr)" w:hint="cs"/>
          <w:sz w:val="22"/>
          <w:szCs w:val="22"/>
          <w:rtl/>
        </w:rPr>
        <w:t xml:space="preserve">ـ </w:t>
      </w:r>
      <w:r>
        <w:rPr>
          <w:rFonts w:cs="Abz-2 (Badr)" w:hint="cs"/>
          <w:sz w:val="22"/>
          <w:szCs w:val="22"/>
          <w:rtl/>
        </w:rPr>
        <w:t>الصحاح،ج2،ص595.</w:t>
      </w:r>
    </w:p>
  </w:footnote>
  <w:footnote w:id="5">
    <w:p w14:paraId="477C5DDC" w14:textId="77777777" w:rsidR="0003525A" w:rsidRPr="002D27AB" w:rsidRDefault="0003525A" w:rsidP="0003525A">
      <w:pPr>
        <w:pStyle w:val="FootnoteText"/>
        <w:bidi/>
        <w:rPr>
          <w:rFonts w:cs="Abz-2 (Badr)"/>
          <w:sz w:val="22"/>
          <w:szCs w:val="22"/>
          <w:rtl/>
          <w:lang w:bidi="fa-IR"/>
        </w:rPr>
      </w:pPr>
      <w:r w:rsidRPr="002D27AB">
        <w:rPr>
          <w:rStyle w:val="FootnoteReference"/>
          <w:rFonts w:cs="Abz-2 (Badr)"/>
          <w:sz w:val="22"/>
          <w:szCs w:val="22"/>
          <w:vertAlign w:val="baseline"/>
        </w:rPr>
        <w:footnoteRef/>
      </w:r>
      <w:r w:rsidRPr="002D27AB">
        <w:rPr>
          <w:rFonts w:cs="Abz-2 (Badr)"/>
          <w:sz w:val="22"/>
          <w:szCs w:val="22"/>
        </w:rPr>
        <w:t xml:space="preserve"> </w:t>
      </w:r>
      <w:r w:rsidRPr="002D27AB">
        <w:rPr>
          <w:rFonts w:cs="Abz-2 (Badr)" w:hint="cs"/>
          <w:sz w:val="22"/>
          <w:szCs w:val="22"/>
          <w:rtl/>
        </w:rPr>
        <w:t xml:space="preserve">ـ </w:t>
      </w:r>
      <w:r>
        <w:rPr>
          <w:rFonts w:cs="Abz-2 (Badr)" w:hint="cs"/>
          <w:sz w:val="22"/>
          <w:szCs w:val="22"/>
          <w:rtl/>
        </w:rPr>
        <w:t>القاموس المحيط،ج1،ص376.</w:t>
      </w:r>
    </w:p>
  </w:footnote>
  <w:footnote w:id="6">
    <w:p w14:paraId="09299332" w14:textId="77777777" w:rsidR="0003525A" w:rsidRPr="002D27AB" w:rsidRDefault="0003525A" w:rsidP="0003525A">
      <w:pPr>
        <w:pStyle w:val="FootnoteText"/>
        <w:bidi/>
        <w:rPr>
          <w:rFonts w:cs="Abz-2 (Badr)"/>
          <w:sz w:val="22"/>
          <w:szCs w:val="22"/>
          <w:rtl/>
          <w:lang w:bidi="fa-IR"/>
        </w:rPr>
      </w:pPr>
      <w:r w:rsidRPr="002D27AB">
        <w:rPr>
          <w:rStyle w:val="FootnoteReference"/>
          <w:rFonts w:cs="Abz-2 (Badr)"/>
          <w:sz w:val="22"/>
          <w:szCs w:val="22"/>
          <w:vertAlign w:val="baseline"/>
        </w:rPr>
        <w:footnoteRef/>
      </w:r>
      <w:r w:rsidRPr="002D27AB">
        <w:rPr>
          <w:rFonts w:cs="Abz-2 (Badr)"/>
          <w:sz w:val="22"/>
          <w:szCs w:val="22"/>
        </w:rPr>
        <w:t xml:space="preserve"> </w:t>
      </w:r>
      <w:r w:rsidRPr="002D27AB">
        <w:rPr>
          <w:rFonts w:cs="Abz-2 (Badr)" w:hint="cs"/>
          <w:sz w:val="22"/>
          <w:szCs w:val="22"/>
          <w:rtl/>
        </w:rPr>
        <w:t xml:space="preserve">ـ </w:t>
      </w:r>
      <w:r>
        <w:rPr>
          <w:rFonts w:cs="Abz-2 (Badr)" w:hint="cs"/>
          <w:sz w:val="22"/>
          <w:szCs w:val="22"/>
          <w:rtl/>
        </w:rPr>
        <w:t>کتاب العين،ج8،ص249.</w:t>
      </w:r>
    </w:p>
  </w:footnote>
  <w:footnote w:id="7">
    <w:p w14:paraId="1B00A994" w14:textId="77777777" w:rsidR="0003525A" w:rsidRPr="002D27AB" w:rsidRDefault="0003525A" w:rsidP="0003525A">
      <w:pPr>
        <w:pStyle w:val="FootnoteText"/>
        <w:bidi/>
        <w:rPr>
          <w:rFonts w:cs="Abz-2 (Badr)"/>
          <w:sz w:val="22"/>
          <w:szCs w:val="22"/>
          <w:rtl/>
          <w:lang w:bidi="fa-IR"/>
        </w:rPr>
      </w:pPr>
      <w:r w:rsidRPr="002D27AB">
        <w:rPr>
          <w:rStyle w:val="FootnoteReference"/>
          <w:rFonts w:cs="Abz-2 (Badr)"/>
          <w:sz w:val="22"/>
          <w:szCs w:val="22"/>
          <w:vertAlign w:val="baseline"/>
        </w:rPr>
        <w:footnoteRef/>
      </w:r>
      <w:r w:rsidRPr="002D27AB">
        <w:rPr>
          <w:rFonts w:cs="Abz-2 (Badr)"/>
          <w:sz w:val="22"/>
          <w:szCs w:val="22"/>
        </w:rPr>
        <w:t xml:space="preserve"> </w:t>
      </w:r>
      <w:r w:rsidRPr="002D27AB">
        <w:rPr>
          <w:rFonts w:cs="Abz-2 (Badr)" w:hint="cs"/>
          <w:sz w:val="22"/>
          <w:szCs w:val="22"/>
          <w:rtl/>
        </w:rPr>
        <w:t xml:space="preserve">ـ </w:t>
      </w:r>
      <w:r>
        <w:rPr>
          <w:rFonts w:cs="Abz-2 (Badr)" w:hint="cs"/>
          <w:sz w:val="22"/>
          <w:szCs w:val="22"/>
          <w:rtl/>
        </w:rPr>
        <w:t>النهاية في غريب الحديث والأثر،ج1،ص231.</w:t>
      </w:r>
    </w:p>
  </w:footnote>
  <w:footnote w:id="8">
    <w:p w14:paraId="03764007" w14:textId="77777777" w:rsidR="0003525A" w:rsidRPr="002D27AB" w:rsidRDefault="0003525A" w:rsidP="0003525A">
      <w:pPr>
        <w:pStyle w:val="FootnoteText"/>
        <w:bidi/>
        <w:rPr>
          <w:rFonts w:cs="Abz-2 (Badr)"/>
          <w:sz w:val="22"/>
          <w:szCs w:val="22"/>
          <w:rtl/>
          <w:lang w:bidi="fa-IR"/>
        </w:rPr>
      </w:pPr>
      <w:r w:rsidRPr="002D27AB">
        <w:rPr>
          <w:rStyle w:val="FootnoteReference"/>
          <w:rFonts w:cs="Abz-2 (Badr)"/>
          <w:sz w:val="22"/>
          <w:szCs w:val="22"/>
          <w:vertAlign w:val="baseline"/>
        </w:rPr>
        <w:footnoteRef/>
      </w:r>
      <w:r w:rsidRPr="002D27AB">
        <w:rPr>
          <w:rFonts w:cs="Abz-2 (Badr)"/>
          <w:sz w:val="22"/>
          <w:szCs w:val="22"/>
        </w:rPr>
        <w:t xml:space="preserve"> </w:t>
      </w:r>
      <w:r w:rsidRPr="002D27AB">
        <w:rPr>
          <w:rFonts w:cs="Abz-2 (Badr)" w:hint="cs"/>
          <w:sz w:val="22"/>
          <w:szCs w:val="22"/>
          <w:rtl/>
        </w:rPr>
        <w:t xml:space="preserve">ـ </w:t>
      </w:r>
      <w:r>
        <w:rPr>
          <w:rFonts w:cs="Abz-2 (Badr)" w:hint="cs"/>
          <w:sz w:val="22"/>
          <w:szCs w:val="22"/>
          <w:rtl/>
        </w:rPr>
        <w:t>الصحاح،ج1،ص95.</w:t>
      </w:r>
    </w:p>
  </w:footnote>
  <w:footnote w:id="9">
    <w:p w14:paraId="6A82F4ED" w14:textId="77777777" w:rsidR="0003525A" w:rsidRPr="002D27AB" w:rsidRDefault="0003525A" w:rsidP="0003525A">
      <w:pPr>
        <w:pStyle w:val="FootnoteText"/>
        <w:bidi/>
        <w:rPr>
          <w:rFonts w:cs="Abz-2 (Badr)"/>
          <w:sz w:val="22"/>
          <w:szCs w:val="22"/>
          <w:rtl/>
          <w:lang w:bidi="fa-IR"/>
        </w:rPr>
      </w:pPr>
      <w:r w:rsidRPr="002D27AB">
        <w:rPr>
          <w:rStyle w:val="FootnoteReference"/>
          <w:rFonts w:cs="Abz-2 (Badr)"/>
          <w:sz w:val="22"/>
          <w:szCs w:val="22"/>
          <w:vertAlign w:val="baseline"/>
        </w:rPr>
        <w:footnoteRef/>
      </w:r>
      <w:r w:rsidRPr="002D27AB">
        <w:rPr>
          <w:rFonts w:cs="Abz-2 (Badr)"/>
          <w:sz w:val="22"/>
          <w:szCs w:val="22"/>
        </w:rPr>
        <w:t xml:space="preserve"> </w:t>
      </w:r>
      <w:r w:rsidRPr="002D27AB">
        <w:rPr>
          <w:rFonts w:cs="Abz-2 (Badr)" w:hint="cs"/>
          <w:sz w:val="22"/>
          <w:szCs w:val="22"/>
          <w:rtl/>
        </w:rPr>
        <w:t xml:space="preserve">ـ </w:t>
      </w:r>
      <w:r>
        <w:rPr>
          <w:rFonts w:cs="Abz-2 (Badr)" w:hint="cs"/>
          <w:sz w:val="22"/>
          <w:szCs w:val="22"/>
          <w:rtl/>
        </w:rPr>
        <w:t>لسان العرب،ج1،ص248.</w:t>
      </w:r>
    </w:p>
  </w:footnote>
  <w:footnote w:id="10">
    <w:p w14:paraId="3CFB24A1" w14:textId="77777777" w:rsidR="0003525A" w:rsidRPr="002D27AB" w:rsidRDefault="0003525A" w:rsidP="0003525A">
      <w:pPr>
        <w:pStyle w:val="FootnoteText"/>
        <w:bidi/>
        <w:rPr>
          <w:rFonts w:cs="Abz-2 (Badr)"/>
          <w:sz w:val="22"/>
          <w:szCs w:val="22"/>
          <w:rtl/>
          <w:lang w:bidi="fa-IR"/>
        </w:rPr>
      </w:pPr>
      <w:r w:rsidRPr="002D27AB">
        <w:rPr>
          <w:rStyle w:val="FootnoteReference"/>
          <w:rFonts w:cs="Abz-2 (Badr)"/>
          <w:sz w:val="22"/>
          <w:szCs w:val="22"/>
          <w:vertAlign w:val="baseline"/>
        </w:rPr>
        <w:footnoteRef/>
      </w:r>
      <w:r w:rsidRPr="002D27AB">
        <w:rPr>
          <w:rFonts w:cs="Abz-2 (Badr)"/>
          <w:sz w:val="22"/>
          <w:szCs w:val="22"/>
        </w:rPr>
        <w:t xml:space="preserve"> </w:t>
      </w:r>
      <w:r w:rsidRPr="002D27AB">
        <w:rPr>
          <w:rFonts w:cs="Abz-2 (Badr)" w:hint="cs"/>
          <w:sz w:val="22"/>
          <w:szCs w:val="22"/>
          <w:rtl/>
        </w:rPr>
        <w:t xml:space="preserve">ـ </w:t>
      </w:r>
      <w:r>
        <w:rPr>
          <w:rFonts w:cs="Abz-2 (Badr)" w:hint="cs"/>
          <w:sz w:val="22"/>
          <w:szCs w:val="22"/>
          <w:rtl/>
        </w:rPr>
        <w:t>القاموس المحيط،ج1،ص43.</w:t>
      </w:r>
    </w:p>
  </w:footnote>
  <w:footnote w:id="11">
    <w:p w14:paraId="09B909FC" w14:textId="77777777" w:rsidR="0003525A" w:rsidRPr="002D27AB" w:rsidRDefault="0003525A" w:rsidP="0003525A">
      <w:pPr>
        <w:pStyle w:val="FootnoteText"/>
        <w:bidi/>
        <w:rPr>
          <w:rFonts w:cs="Abz-2 (Badr)"/>
          <w:sz w:val="22"/>
          <w:szCs w:val="22"/>
          <w:rtl/>
          <w:lang w:bidi="fa-IR"/>
        </w:rPr>
      </w:pPr>
      <w:r w:rsidRPr="002D27AB">
        <w:rPr>
          <w:rStyle w:val="FootnoteReference"/>
          <w:rFonts w:cs="Abz-2 (Badr)"/>
          <w:sz w:val="22"/>
          <w:szCs w:val="22"/>
          <w:vertAlign w:val="baseline"/>
        </w:rPr>
        <w:footnoteRef/>
      </w:r>
      <w:r w:rsidRPr="002D27AB">
        <w:rPr>
          <w:rFonts w:cs="Abz-2 (Badr)"/>
          <w:sz w:val="22"/>
          <w:szCs w:val="22"/>
        </w:rPr>
        <w:t xml:space="preserve"> </w:t>
      </w:r>
      <w:r w:rsidRPr="002D27AB">
        <w:rPr>
          <w:rFonts w:cs="Abz-2 (Badr)" w:hint="cs"/>
          <w:sz w:val="22"/>
          <w:szCs w:val="22"/>
          <w:rtl/>
        </w:rPr>
        <w:t xml:space="preserve">ـ </w:t>
      </w:r>
      <w:r>
        <w:rPr>
          <w:rFonts w:cs="Abz-2 (Badr)" w:hint="cs"/>
          <w:sz w:val="22"/>
          <w:szCs w:val="22"/>
          <w:rtl/>
        </w:rPr>
        <w:t>کافی،ج5،ص413،ح1 ـ وسائل،ج21،ص223،ح26945.</w:t>
      </w:r>
    </w:p>
  </w:footnote>
  <w:footnote w:id="12">
    <w:p w14:paraId="1AC0C5B1" w14:textId="77777777" w:rsidR="0003525A" w:rsidRPr="002D27AB" w:rsidRDefault="0003525A" w:rsidP="0003525A">
      <w:pPr>
        <w:pStyle w:val="FootnoteText"/>
        <w:bidi/>
        <w:rPr>
          <w:rFonts w:cs="Abz-2 (Badr)"/>
          <w:sz w:val="22"/>
          <w:szCs w:val="22"/>
          <w:rtl/>
          <w:lang w:bidi="fa-IR"/>
        </w:rPr>
      </w:pPr>
      <w:r w:rsidRPr="002D27AB">
        <w:rPr>
          <w:rStyle w:val="FootnoteReference"/>
          <w:rFonts w:cs="Abz-2 (Badr)"/>
          <w:sz w:val="22"/>
          <w:szCs w:val="22"/>
          <w:vertAlign w:val="baseline"/>
        </w:rPr>
        <w:footnoteRef/>
      </w:r>
      <w:r w:rsidRPr="002D27AB">
        <w:rPr>
          <w:rFonts w:cs="Abz-2 (Badr)"/>
          <w:sz w:val="22"/>
          <w:szCs w:val="22"/>
        </w:rPr>
        <w:t xml:space="preserve"> </w:t>
      </w:r>
      <w:r w:rsidRPr="002D27AB">
        <w:rPr>
          <w:rFonts w:cs="Abz-2 (Badr)" w:hint="cs"/>
          <w:sz w:val="22"/>
          <w:szCs w:val="22"/>
          <w:rtl/>
        </w:rPr>
        <w:t xml:space="preserve">ـ </w:t>
      </w:r>
      <w:r>
        <w:rPr>
          <w:rFonts w:cs="Abz-2 (Badr)" w:hint="cs"/>
          <w:sz w:val="22"/>
          <w:szCs w:val="22"/>
          <w:rtl/>
        </w:rPr>
        <w:t>کافی،ج5،ص413،ح2 ـ وسائل،ج21،ص223،ح26946.</w:t>
      </w:r>
    </w:p>
  </w:footnote>
  <w:footnote w:id="13">
    <w:p w14:paraId="706CD32A" w14:textId="77777777" w:rsidR="0003525A" w:rsidRPr="002D27AB" w:rsidRDefault="0003525A" w:rsidP="0003525A">
      <w:pPr>
        <w:pStyle w:val="FootnoteText"/>
        <w:bidi/>
        <w:rPr>
          <w:rFonts w:cs="Abz-2 (Badr)"/>
          <w:sz w:val="22"/>
          <w:szCs w:val="22"/>
          <w:rtl/>
          <w:lang w:bidi="fa-IR"/>
        </w:rPr>
      </w:pPr>
      <w:r w:rsidRPr="002D27AB">
        <w:rPr>
          <w:rStyle w:val="FootnoteReference"/>
          <w:rFonts w:cs="Abz-2 (Badr)"/>
          <w:sz w:val="22"/>
          <w:szCs w:val="22"/>
          <w:vertAlign w:val="baseline"/>
        </w:rPr>
        <w:footnoteRef/>
      </w:r>
      <w:r w:rsidRPr="002D27AB">
        <w:rPr>
          <w:rFonts w:cs="Abz-2 (Badr)"/>
          <w:sz w:val="22"/>
          <w:szCs w:val="22"/>
        </w:rPr>
        <w:t xml:space="preserve"> </w:t>
      </w:r>
      <w:r w:rsidRPr="002D27AB">
        <w:rPr>
          <w:rFonts w:cs="Abz-2 (Badr)" w:hint="cs"/>
          <w:sz w:val="22"/>
          <w:szCs w:val="22"/>
          <w:rtl/>
        </w:rPr>
        <w:t xml:space="preserve">ـ </w:t>
      </w:r>
      <w:r>
        <w:rPr>
          <w:rFonts w:cs="Abz-2 (Badr)" w:hint="cs"/>
          <w:sz w:val="22"/>
          <w:szCs w:val="22"/>
          <w:rtl/>
        </w:rPr>
        <w:t>الکافي في الفقه،ص295.</w:t>
      </w:r>
    </w:p>
  </w:footnote>
  <w:footnote w:id="14">
    <w:p w14:paraId="19EDF77C" w14:textId="77777777" w:rsidR="0003525A" w:rsidRPr="002D27AB" w:rsidRDefault="0003525A" w:rsidP="0003525A">
      <w:pPr>
        <w:pStyle w:val="FootnoteText"/>
        <w:bidi/>
        <w:rPr>
          <w:rFonts w:cs="Abz-2 (Badr)"/>
          <w:sz w:val="22"/>
          <w:szCs w:val="22"/>
          <w:rtl/>
          <w:lang w:bidi="fa-IR"/>
        </w:rPr>
      </w:pPr>
      <w:r w:rsidRPr="002D27AB">
        <w:rPr>
          <w:rStyle w:val="FootnoteReference"/>
          <w:rFonts w:cs="Abz-2 (Badr)"/>
          <w:sz w:val="22"/>
          <w:szCs w:val="22"/>
          <w:vertAlign w:val="baseline"/>
        </w:rPr>
        <w:footnoteRef/>
      </w:r>
      <w:r w:rsidRPr="002D27AB">
        <w:rPr>
          <w:rFonts w:cs="Abz-2 (Badr)"/>
          <w:sz w:val="22"/>
          <w:szCs w:val="22"/>
        </w:rPr>
        <w:t xml:space="preserve"> </w:t>
      </w:r>
      <w:r w:rsidRPr="002D27AB">
        <w:rPr>
          <w:rFonts w:cs="Abz-2 (Badr)" w:hint="cs"/>
          <w:sz w:val="22"/>
          <w:szCs w:val="22"/>
          <w:rtl/>
        </w:rPr>
        <w:t xml:space="preserve">ـ </w:t>
      </w:r>
      <w:r>
        <w:rPr>
          <w:rFonts w:cs="Abz-2 (Badr)" w:hint="cs"/>
          <w:sz w:val="22"/>
          <w:szCs w:val="22"/>
          <w:rtl/>
        </w:rPr>
        <w:t>نهايه،ص486.</w:t>
      </w:r>
    </w:p>
  </w:footnote>
  <w:footnote w:id="15">
    <w:p w14:paraId="593C0206" w14:textId="77777777" w:rsidR="0003525A" w:rsidRPr="002D27AB" w:rsidRDefault="0003525A" w:rsidP="0003525A">
      <w:pPr>
        <w:pStyle w:val="FootnoteText"/>
        <w:bidi/>
        <w:rPr>
          <w:rFonts w:cs="Abz-2 (Badr)"/>
          <w:sz w:val="22"/>
          <w:szCs w:val="22"/>
          <w:rtl/>
          <w:lang w:bidi="fa-IR"/>
        </w:rPr>
      </w:pPr>
      <w:r w:rsidRPr="002D27AB">
        <w:rPr>
          <w:rStyle w:val="FootnoteReference"/>
          <w:rFonts w:cs="Abz-2 (Badr)"/>
          <w:sz w:val="22"/>
          <w:szCs w:val="22"/>
          <w:vertAlign w:val="baseline"/>
        </w:rPr>
        <w:footnoteRef/>
      </w:r>
      <w:r w:rsidRPr="002D27AB">
        <w:rPr>
          <w:rFonts w:cs="Abz-2 (Badr)"/>
          <w:sz w:val="22"/>
          <w:szCs w:val="22"/>
        </w:rPr>
        <w:t xml:space="preserve"> </w:t>
      </w:r>
      <w:r w:rsidRPr="002D27AB">
        <w:rPr>
          <w:rFonts w:cs="Abz-2 (Badr)" w:hint="cs"/>
          <w:sz w:val="22"/>
          <w:szCs w:val="22"/>
          <w:rtl/>
        </w:rPr>
        <w:t xml:space="preserve">ـ </w:t>
      </w:r>
      <w:r>
        <w:rPr>
          <w:rFonts w:cs="Abz-2 (Badr)" w:hint="cs"/>
          <w:sz w:val="22"/>
          <w:szCs w:val="22"/>
          <w:rtl/>
        </w:rPr>
        <w:t>سرائر،ج2،ص615.</w:t>
      </w:r>
    </w:p>
  </w:footnote>
  <w:footnote w:id="16">
    <w:p w14:paraId="6E267FF0" w14:textId="77777777" w:rsidR="0003525A" w:rsidRPr="002D27AB" w:rsidRDefault="0003525A" w:rsidP="0003525A">
      <w:pPr>
        <w:pStyle w:val="FootnoteText"/>
        <w:bidi/>
        <w:rPr>
          <w:rFonts w:cs="Abz-2 (Badr)"/>
          <w:sz w:val="22"/>
          <w:szCs w:val="22"/>
          <w:rtl/>
          <w:lang w:bidi="fa-IR"/>
        </w:rPr>
      </w:pPr>
      <w:r w:rsidRPr="002D27AB">
        <w:rPr>
          <w:rStyle w:val="FootnoteReference"/>
          <w:rFonts w:cs="Abz-2 (Badr)"/>
          <w:sz w:val="22"/>
          <w:szCs w:val="22"/>
          <w:vertAlign w:val="baseline"/>
        </w:rPr>
        <w:footnoteRef/>
      </w:r>
      <w:r w:rsidRPr="002D27AB">
        <w:rPr>
          <w:rFonts w:cs="Abz-2 (Badr)"/>
          <w:sz w:val="22"/>
          <w:szCs w:val="22"/>
        </w:rPr>
        <w:t xml:space="preserve"> </w:t>
      </w:r>
      <w:r w:rsidRPr="002D27AB">
        <w:rPr>
          <w:rFonts w:cs="Abz-2 (Badr)" w:hint="cs"/>
          <w:sz w:val="22"/>
          <w:szCs w:val="22"/>
          <w:rtl/>
        </w:rPr>
        <w:t xml:space="preserve">ـ </w:t>
      </w:r>
      <w:r>
        <w:rPr>
          <w:rFonts w:cs="Abz-2 (Badr)" w:hint="cs"/>
          <w:sz w:val="22"/>
          <w:szCs w:val="22"/>
          <w:rtl/>
        </w:rPr>
        <w:t>وسيله،ص312.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20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32E0"/>
    <w:rsid w:val="0003525A"/>
    <w:rsid w:val="00054C3B"/>
    <w:rsid w:val="000577BF"/>
    <w:rsid w:val="0007062A"/>
    <w:rsid w:val="00084447"/>
    <w:rsid w:val="000879BF"/>
    <w:rsid w:val="0009649A"/>
    <w:rsid w:val="000978E9"/>
    <w:rsid w:val="000B0685"/>
    <w:rsid w:val="000B64A7"/>
    <w:rsid w:val="000C4957"/>
    <w:rsid w:val="000D0B46"/>
    <w:rsid w:val="000E1CDA"/>
    <w:rsid w:val="000E2156"/>
    <w:rsid w:val="000F2E50"/>
    <w:rsid w:val="00101B80"/>
    <w:rsid w:val="001050A2"/>
    <w:rsid w:val="001149FA"/>
    <w:rsid w:val="00117D7D"/>
    <w:rsid w:val="001420FB"/>
    <w:rsid w:val="00142696"/>
    <w:rsid w:val="00145844"/>
    <w:rsid w:val="00150806"/>
    <w:rsid w:val="0015228E"/>
    <w:rsid w:val="00183ED3"/>
    <w:rsid w:val="001922E4"/>
    <w:rsid w:val="001B2ADB"/>
    <w:rsid w:val="001C3107"/>
    <w:rsid w:val="001D1305"/>
    <w:rsid w:val="001D4A4D"/>
    <w:rsid w:val="002133D5"/>
    <w:rsid w:val="0021414D"/>
    <w:rsid w:val="00263A26"/>
    <w:rsid w:val="002829CF"/>
    <w:rsid w:val="00295DC1"/>
    <w:rsid w:val="0029688A"/>
    <w:rsid w:val="002A09CF"/>
    <w:rsid w:val="002A267D"/>
    <w:rsid w:val="002A6FA3"/>
    <w:rsid w:val="002B6537"/>
    <w:rsid w:val="002C7D85"/>
    <w:rsid w:val="002D27AB"/>
    <w:rsid w:val="002E0246"/>
    <w:rsid w:val="00324BF0"/>
    <w:rsid w:val="00330590"/>
    <w:rsid w:val="00331A5F"/>
    <w:rsid w:val="00335969"/>
    <w:rsid w:val="003361EF"/>
    <w:rsid w:val="003A1222"/>
    <w:rsid w:val="003A199D"/>
    <w:rsid w:val="003C6DBC"/>
    <w:rsid w:val="003E2132"/>
    <w:rsid w:val="003F4526"/>
    <w:rsid w:val="00451E5F"/>
    <w:rsid w:val="00487869"/>
    <w:rsid w:val="004B5767"/>
    <w:rsid w:val="004D6B0B"/>
    <w:rsid w:val="004F092F"/>
    <w:rsid w:val="004F446D"/>
    <w:rsid w:val="005149EF"/>
    <w:rsid w:val="00521235"/>
    <w:rsid w:val="005327C7"/>
    <w:rsid w:val="00537B39"/>
    <w:rsid w:val="005532E0"/>
    <w:rsid w:val="005751F1"/>
    <w:rsid w:val="00575C4B"/>
    <w:rsid w:val="005B6905"/>
    <w:rsid w:val="0060689C"/>
    <w:rsid w:val="00621F9A"/>
    <w:rsid w:val="00625979"/>
    <w:rsid w:val="00690AFD"/>
    <w:rsid w:val="006A4420"/>
    <w:rsid w:val="006B2F35"/>
    <w:rsid w:val="006C580F"/>
    <w:rsid w:val="006F1A47"/>
    <w:rsid w:val="0070259D"/>
    <w:rsid w:val="00703021"/>
    <w:rsid w:val="00706DD2"/>
    <w:rsid w:val="00731C05"/>
    <w:rsid w:val="007374CF"/>
    <w:rsid w:val="00743EDF"/>
    <w:rsid w:val="00750FB1"/>
    <w:rsid w:val="00761208"/>
    <w:rsid w:val="007B47B9"/>
    <w:rsid w:val="00814C68"/>
    <w:rsid w:val="008305E7"/>
    <w:rsid w:val="00875CD7"/>
    <w:rsid w:val="008869B4"/>
    <w:rsid w:val="008A2AD3"/>
    <w:rsid w:val="008C2698"/>
    <w:rsid w:val="008C3DDD"/>
    <w:rsid w:val="008D1155"/>
    <w:rsid w:val="008D55B7"/>
    <w:rsid w:val="008D634C"/>
    <w:rsid w:val="008F3842"/>
    <w:rsid w:val="00901208"/>
    <w:rsid w:val="00920965"/>
    <w:rsid w:val="009251BE"/>
    <w:rsid w:val="00934ECC"/>
    <w:rsid w:val="009364C3"/>
    <w:rsid w:val="00940232"/>
    <w:rsid w:val="00940DC9"/>
    <w:rsid w:val="00943CA6"/>
    <w:rsid w:val="00952433"/>
    <w:rsid w:val="00955EBA"/>
    <w:rsid w:val="00976371"/>
    <w:rsid w:val="009A3CA7"/>
    <w:rsid w:val="009B0C6F"/>
    <w:rsid w:val="009C1C9D"/>
    <w:rsid w:val="009D42F6"/>
    <w:rsid w:val="009D63FF"/>
    <w:rsid w:val="009E2B08"/>
    <w:rsid w:val="00A1285F"/>
    <w:rsid w:val="00A17467"/>
    <w:rsid w:val="00A17781"/>
    <w:rsid w:val="00A47676"/>
    <w:rsid w:val="00A62A68"/>
    <w:rsid w:val="00A75A87"/>
    <w:rsid w:val="00A75FB0"/>
    <w:rsid w:val="00A840BC"/>
    <w:rsid w:val="00A96A24"/>
    <w:rsid w:val="00AB148E"/>
    <w:rsid w:val="00AE0F8B"/>
    <w:rsid w:val="00B26936"/>
    <w:rsid w:val="00B33F90"/>
    <w:rsid w:val="00B45307"/>
    <w:rsid w:val="00B651F0"/>
    <w:rsid w:val="00B74659"/>
    <w:rsid w:val="00BB28BF"/>
    <w:rsid w:val="00BD6EF3"/>
    <w:rsid w:val="00BE6672"/>
    <w:rsid w:val="00BF5AD9"/>
    <w:rsid w:val="00C004FA"/>
    <w:rsid w:val="00C01832"/>
    <w:rsid w:val="00C05C27"/>
    <w:rsid w:val="00C1047A"/>
    <w:rsid w:val="00C129A8"/>
    <w:rsid w:val="00C23C75"/>
    <w:rsid w:val="00C4572A"/>
    <w:rsid w:val="00C6529A"/>
    <w:rsid w:val="00C8378C"/>
    <w:rsid w:val="00C9359C"/>
    <w:rsid w:val="00C9572F"/>
    <w:rsid w:val="00CA0BC4"/>
    <w:rsid w:val="00CC241E"/>
    <w:rsid w:val="00CC2540"/>
    <w:rsid w:val="00CD08A2"/>
    <w:rsid w:val="00CD52E6"/>
    <w:rsid w:val="00D20C84"/>
    <w:rsid w:val="00D22A70"/>
    <w:rsid w:val="00D26E3A"/>
    <w:rsid w:val="00D663C8"/>
    <w:rsid w:val="00D77827"/>
    <w:rsid w:val="00D81BE3"/>
    <w:rsid w:val="00D94EC6"/>
    <w:rsid w:val="00D97411"/>
    <w:rsid w:val="00DA0446"/>
    <w:rsid w:val="00DC37E2"/>
    <w:rsid w:val="00E0061D"/>
    <w:rsid w:val="00E01FDF"/>
    <w:rsid w:val="00E214D7"/>
    <w:rsid w:val="00E2487C"/>
    <w:rsid w:val="00E50756"/>
    <w:rsid w:val="00E55342"/>
    <w:rsid w:val="00E6533A"/>
    <w:rsid w:val="00E749D3"/>
    <w:rsid w:val="00E77A81"/>
    <w:rsid w:val="00E87258"/>
    <w:rsid w:val="00E93304"/>
    <w:rsid w:val="00ED3BC0"/>
    <w:rsid w:val="00ED7F5C"/>
    <w:rsid w:val="00EE25C0"/>
    <w:rsid w:val="00F03C99"/>
    <w:rsid w:val="00F15BC4"/>
    <w:rsid w:val="00F46AE2"/>
    <w:rsid w:val="00F46E3E"/>
    <w:rsid w:val="00F5720C"/>
    <w:rsid w:val="00F654C8"/>
    <w:rsid w:val="00F71127"/>
    <w:rsid w:val="00F80BC8"/>
    <w:rsid w:val="00FA5DD1"/>
    <w:rsid w:val="00FC64C4"/>
    <w:rsid w:val="00FE120F"/>
    <w:rsid w:val="00FF5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EFF884"/>
  <w15:chartTrackingRefBased/>
  <w15:docId w15:val="{48489C64-85C9-42DB-A4D9-603EA0B14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F7112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7112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71127"/>
    <w:rPr>
      <w:vertAlign w:val="superscript"/>
    </w:rPr>
  </w:style>
  <w:style w:type="paragraph" w:styleId="NormalWeb">
    <w:name w:val="Normal (Web)"/>
    <w:basedOn w:val="Normal"/>
    <w:uiPriority w:val="99"/>
    <w:unhideWhenUsed/>
    <w:rsid w:val="00D22A70"/>
    <w:pPr>
      <w:spacing w:before="100" w:beforeAutospacing="1" w:after="100" w:afterAutospacing="1" w:line="240" w:lineRule="auto"/>
    </w:pPr>
    <w:rPr>
      <w:rFonts w:ascii="Noor_Nazli" w:eastAsia="Times New Roman" w:hAnsi="Noor_Nazli" w:cs="Times New Roman"/>
      <w:sz w:val="24"/>
      <w:szCs w:val="24"/>
    </w:rPr>
  </w:style>
  <w:style w:type="character" w:customStyle="1" w:styleId="hadith1">
    <w:name w:val="hadith1"/>
    <w:basedOn w:val="DefaultParagraphFont"/>
    <w:rsid w:val="002D27AB"/>
    <w:rPr>
      <w:rFonts w:ascii="Noor_Nazli" w:hAnsi="Noor_Nazli" w:hint="default"/>
      <w:color w:val="242887"/>
    </w:rPr>
  </w:style>
  <w:style w:type="character" w:customStyle="1" w:styleId="sanadhadith1">
    <w:name w:val="sanadhadith1"/>
    <w:basedOn w:val="DefaultParagraphFont"/>
    <w:rsid w:val="002D27AB"/>
    <w:rPr>
      <w:rFonts w:ascii="Noor_Nazli" w:hAnsi="Noor_Nazli" w:hint="default"/>
      <w:color w:val="800000"/>
    </w:rPr>
  </w:style>
  <w:style w:type="character" w:customStyle="1" w:styleId="g">
    <w:name w:val="g"/>
    <w:basedOn w:val="DefaultParagraphFont"/>
    <w:rsid w:val="002D27AB"/>
  </w:style>
  <w:style w:type="character" w:customStyle="1" w:styleId="noor-format">
    <w:name w:val="noor-format"/>
    <w:basedOn w:val="DefaultParagraphFont"/>
    <w:rsid w:val="002D27AB"/>
  </w:style>
  <w:style w:type="character" w:customStyle="1" w:styleId="kalammaasoom">
    <w:name w:val="kalammaasoom"/>
    <w:basedOn w:val="DefaultParagraphFont"/>
    <w:rsid w:val="002D27AB"/>
  </w:style>
  <w:style w:type="character" w:customStyle="1" w:styleId="sharh">
    <w:name w:val="sharh"/>
    <w:basedOn w:val="DefaultParagraphFont"/>
    <w:rsid w:val="00331A5F"/>
  </w:style>
  <w:style w:type="character" w:customStyle="1" w:styleId="m1">
    <w:name w:val="m1"/>
    <w:basedOn w:val="DefaultParagraphFont"/>
    <w:rsid w:val="00331A5F"/>
    <w:rPr>
      <w:b/>
      <w:bCs/>
      <w:color w:val="A52A2A"/>
    </w:rPr>
  </w:style>
  <w:style w:type="character" w:customStyle="1" w:styleId="a1">
    <w:name w:val="a1"/>
    <w:basedOn w:val="DefaultParagraphFont"/>
    <w:rsid w:val="00C8378C"/>
    <w:rPr>
      <w:b/>
      <w:bCs/>
    </w:rPr>
  </w:style>
  <w:style w:type="character" w:customStyle="1" w:styleId="d">
    <w:name w:val="d"/>
    <w:basedOn w:val="DefaultParagraphFont"/>
    <w:rsid w:val="00C8378C"/>
  </w:style>
  <w:style w:type="paragraph" w:styleId="Header">
    <w:name w:val="header"/>
    <w:basedOn w:val="Normal"/>
    <w:link w:val="HeaderChar"/>
    <w:uiPriority w:val="99"/>
    <w:unhideWhenUsed/>
    <w:rsid w:val="00A75F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5FB0"/>
  </w:style>
  <w:style w:type="paragraph" w:styleId="Footer">
    <w:name w:val="footer"/>
    <w:basedOn w:val="Normal"/>
    <w:link w:val="FooterChar"/>
    <w:uiPriority w:val="99"/>
    <w:unhideWhenUsed/>
    <w:rsid w:val="00A75F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5FB0"/>
  </w:style>
  <w:style w:type="character" w:customStyle="1" w:styleId="v">
    <w:name w:val="v"/>
    <w:basedOn w:val="DefaultParagraphFont"/>
    <w:rsid w:val="00D97411"/>
  </w:style>
  <w:style w:type="character" w:customStyle="1" w:styleId="f">
    <w:name w:val="f"/>
    <w:basedOn w:val="DefaultParagraphFont"/>
    <w:rsid w:val="00D97411"/>
  </w:style>
  <w:style w:type="character" w:customStyle="1" w:styleId="l">
    <w:name w:val="l"/>
    <w:basedOn w:val="DefaultParagraphFont"/>
    <w:rsid w:val="00D97411"/>
  </w:style>
  <w:style w:type="character" w:customStyle="1" w:styleId="noor-h72">
    <w:name w:val="noor-h72"/>
    <w:basedOn w:val="DefaultParagraphFont"/>
    <w:rsid w:val="00183ED3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14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24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6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26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556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44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56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74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46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89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63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9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34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85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1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13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89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4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0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78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10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4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01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24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088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89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34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46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0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429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2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1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8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18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33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8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93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83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AEC0DA-D44A-438D-B995-2F3955A5EB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3</Pages>
  <Words>696</Words>
  <Characters>3971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Mousavi</dc:creator>
  <cp:keywords/>
  <dc:description/>
  <cp:lastModifiedBy>Ali Mousavi</cp:lastModifiedBy>
  <cp:revision>91</cp:revision>
  <cp:lastPrinted>2022-11-06T08:45:00Z</cp:lastPrinted>
  <dcterms:created xsi:type="dcterms:W3CDTF">2022-10-16T08:36:00Z</dcterms:created>
  <dcterms:modified xsi:type="dcterms:W3CDTF">2022-11-08T07:05:00Z</dcterms:modified>
</cp:coreProperties>
</file>