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7EE997C"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054C3B">
        <w:rPr>
          <w:rFonts w:cs="B Mitra" w:hint="cs"/>
          <w:b/>
          <w:bCs/>
          <w:sz w:val="32"/>
          <w:szCs w:val="32"/>
          <w:rtl/>
          <w:lang w:bidi="fa-IR"/>
        </w:rPr>
        <w:t>8</w:t>
      </w:r>
    </w:p>
    <w:p w14:paraId="136BC879" w14:textId="77777777" w:rsidR="00054C3B" w:rsidRPr="001971CF" w:rsidRDefault="00054C3B" w:rsidP="00054C3B">
      <w:pPr>
        <w:widowControl w:val="0"/>
        <w:bidi/>
        <w:spacing w:after="0" w:line="254" w:lineRule="auto"/>
        <w:ind w:firstLine="284"/>
        <w:jc w:val="both"/>
        <w:rPr>
          <w:rFonts w:ascii="Noor_Nazli" w:eastAsia="Times New Roman" w:hAnsi="Noor_Nazli" w:cs="Times New Roman"/>
          <w:sz w:val="36"/>
          <w:szCs w:val="36"/>
          <w:rtl/>
          <w:lang w:bidi="fa-IR"/>
        </w:rPr>
      </w:pPr>
      <w:bookmarkStart w:id="0" w:name="_Hlk117452648"/>
      <w:bookmarkStart w:id="1" w:name="_Hlk117414211"/>
      <w:r>
        <w:rPr>
          <w:rFonts w:cs="Abz-2 (Badr)" w:hint="cs"/>
          <w:color w:val="000000" w:themeColor="text1"/>
          <w:sz w:val="28"/>
          <w:szCs w:val="28"/>
          <w:rtl/>
          <w:lang w:bidi="fa-IR"/>
        </w:rPr>
        <w:t>وقال في القواعد: «</w:t>
      </w:r>
      <w:r w:rsidRPr="001971CF">
        <w:rPr>
          <w:rFonts w:cs="Abz-2 (Badr)"/>
          <w:color w:val="000000" w:themeColor="text1"/>
          <w:sz w:val="28"/>
          <w:szCs w:val="28"/>
          <w:rtl/>
          <w:lang w:bidi="fa-IR"/>
        </w:rPr>
        <w:t>إن كان بعد الدخول فالأقرب وجوب أقلّ‌ ما يصلح أن يكون مهرا</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للمولى.</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
      </w:r>
    </w:p>
    <w:p w14:paraId="28F6853A" w14:textId="77777777" w:rsidR="00054C3B" w:rsidRPr="001971CF" w:rsidRDefault="00054C3B" w:rsidP="00054C3B">
      <w:pPr>
        <w:widowControl w:val="0"/>
        <w:bidi/>
        <w:spacing w:after="0" w:line="25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وقال المحقّق الثاني في جامع المقاصد: «</w:t>
      </w:r>
      <w:r w:rsidRPr="001971CF">
        <w:rPr>
          <w:rFonts w:cs="Abz-2 (Badr)"/>
          <w:color w:val="000000" w:themeColor="text1"/>
          <w:sz w:val="28"/>
          <w:szCs w:val="28"/>
          <w:rtl/>
          <w:lang w:bidi="fa-IR"/>
        </w:rPr>
        <w:t>هل يستثني للسي</w:t>
      </w:r>
      <w:r>
        <w:rPr>
          <w:rFonts w:cs="Abz-2 (Badr)" w:hint="cs"/>
          <w:color w:val="000000" w:themeColor="text1"/>
          <w:sz w:val="28"/>
          <w:szCs w:val="28"/>
          <w:rtl/>
          <w:lang w:bidi="fa-IR"/>
        </w:rPr>
        <w:t>ّ</w:t>
      </w:r>
      <w:r w:rsidRPr="001971CF">
        <w:rPr>
          <w:rFonts w:cs="Abz-2 (Badr)"/>
          <w:color w:val="000000" w:themeColor="text1"/>
          <w:sz w:val="28"/>
          <w:szCs w:val="28"/>
          <w:rtl/>
          <w:lang w:bidi="fa-IR"/>
        </w:rPr>
        <w:t>د وجوب أقل</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ما يصلح أن يجعل مهرا</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وهو أقل</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ما يتمو</w:t>
      </w:r>
      <w:r>
        <w:rPr>
          <w:rFonts w:cs="Abz-2 (Badr)" w:hint="cs"/>
          <w:color w:val="000000" w:themeColor="text1"/>
          <w:sz w:val="28"/>
          <w:szCs w:val="28"/>
          <w:rtl/>
          <w:lang w:bidi="fa-IR"/>
        </w:rPr>
        <w:t>ّ</w:t>
      </w:r>
      <w:r w:rsidRPr="001971CF">
        <w:rPr>
          <w:rFonts w:cs="Abz-2 (Badr)"/>
          <w:color w:val="000000" w:themeColor="text1"/>
          <w:sz w:val="28"/>
          <w:szCs w:val="28"/>
          <w:rtl/>
          <w:lang w:bidi="fa-IR"/>
        </w:rPr>
        <w:t>ل على ما سبق، وعلى قول ابن الجنيد</w:t>
      </w:r>
      <w:r>
        <w:rPr>
          <w:rFonts w:cs="Abz-2 (Badr)" w:hint="cs"/>
          <w:color w:val="000000" w:themeColor="text1"/>
          <w:sz w:val="28"/>
          <w:szCs w:val="28"/>
          <w:rtl/>
          <w:lang w:bidi="fa-IR"/>
        </w:rPr>
        <w:t xml:space="preserve"> </w:t>
      </w:r>
      <w:r w:rsidRPr="001971CF">
        <w:rPr>
          <w:rFonts w:cs="Abz-2 (Badr)"/>
          <w:color w:val="000000" w:themeColor="text1"/>
          <w:sz w:val="28"/>
          <w:szCs w:val="28"/>
          <w:rtl/>
          <w:lang w:bidi="fa-IR"/>
        </w:rPr>
        <w:t>أقل</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ما يكون مهر أمثالها؟ فيه قولان، أقربهما عند المصن</w:t>
      </w:r>
      <w:r>
        <w:rPr>
          <w:rFonts w:cs="Abz-2 (Badr)" w:hint="cs"/>
          <w:color w:val="000000" w:themeColor="text1"/>
          <w:sz w:val="28"/>
          <w:szCs w:val="28"/>
          <w:rtl/>
          <w:lang w:bidi="fa-IR"/>
        </w:rPr>
        <w:t>ّ</w:t>
      </w:r>
      <w:r w:rsidRPr="001971CF">
        <w:rPr>
          <w:rFonts w:cs="Abz-2 (Badr)"/>
          <w:color w:val="000000" w:themeColor="text1"/>
          <w:sz w:val="28"/>
          <w:szCs w:val="28"/>
          <w:rtl/>
          <w:lang w:bidi="fa-IR"/>
        </w:rPr>
        <w:t>ف وجوب ذلك، لأن</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الوطء المحترم في غير اباحة المملوكة يمتنع خلو</w:t>
      </w:r>
      <w:r>
        <w:rPr>
          <w:rFonts w:cs="Abz-2 (Badr)" w:hint="cs"/>
          <w:color w:val="000000" w:themeColor="text1"/>
          <w:sz w:val="28"/>
          <w:szCs w:val="28"/>
          <w:rtl/>
          <w:lang w:bidi="fa-IR"/>
        </w:rPr>
        <w:t>ّ</w:t>
      </w:r>
      <w:r w:rsidRPr="001971CF">
        <w:rPr>
          <w:rFonts w:cs="Abz-2 (Badr)"/>
          <w:color w:val="000000" w:themeColor="text1"/>
          <w:sz w:val="28"/>
          <w:szCs w:val="28"/>
          <w:rtl/>
          <w:lang w:bidi="fa-IR"/>
        </w:rPr>
        <w:t>ه عن العوض.</w:t>
      </w:r>
    </w:p>
    <w:p w14:paraId="1461CF8D" w14:textId="77777777" w:rsidR="00054C3B" w:rsidRPr="001971CF" w:rsidRDefault="00054C3B" w:rsidP="00054C3B">
      <w:pPr>
        <w:widowControl w:val="0"/>
        <w:bidi/>
        <w:spacing w:after="0" w:line="254" w:lineRule="auto"/>
        <w:ind w:firstLine="284"/>
        <w:jc w:val="both"/>
        <w:rPr>
          <w:rFonts w:ascii="Noor_Nazli" w:eastAsia="Times New Roman" w:hAnsi="Noor_Nazli" w:cs="Times New Roman"/>
          <w:sz w:val="36"/>
          <w:szCs w:val="36"/>
          <w:rtl/>
          <w:lang w:bidi="fa-IR"/>
        </w:rPr>
      </w:pPr>
      <w:r w:rsidRPr="001971CF">
        <w:rPr>
          <w:rFonts w:cs="Abz-2 (Badr)"/>
          <w:color w:val="000000" w:themeColor="text1"/>
          <w:sz w:val="28"/>
          <w:szCs w:val="28"/>
          <w:rtl/>
          <w:lang w:bidi="fa-IR"/>
        </w:rPr>
        <w:t>وقيل: لا يجب شيء، للأصل، وهو ضعيف، وإن</w:t>
      </w:r>
      <w:r>
        <w:rPr>
          <w:rFonts w:cs="Abz-2 (Badr)" w:hint="cs"/>
          <w:color w:val="000000" w:themeColor="text1"/>
          <w:sz w:val="28"/>
          <w:szCs w:val="28"/>
          <w:rtl/>
          <w:lang w:bidi="fa-IR"/>
        </w:rPr>
        <w:t>ّ</w:t>
      </w:r>
      <w:r w:rsidRPr="001971CF">
        <w:rPr>
          <w:rFonts w:cs="Abz-2 (Badr)"/>
          <w:color w:val="000000" w:themeColor="text1"/>
          <w:sz w:val="28"/>
          <w:szCs w:val="28"/>
          <w:rtl/>
          <w:lang w:bidi="fa-IR"/>
        </w:rPr>
        <w:t>ما كان هذا للسي</w:t>
      </w:r>
      <w:r>
        <w:rPr>
          <w:rFonts w:cs="Abz-2 (Badr)" w:hint="cs"/>
          <w:color w:val="000000" w:themeColor="text1"/>
          <w:sz w:val="28"/>
          <w:szCs w:val="28"/>
          <w:rtl/>
          <w:lang w:bidi="fa-IR"/>
        </w:rPr>
        <w:t>ّ</w:t>
      </w:r>
      <w:r w:rsidRPr="001971CF">
        <w:rPr>
          <w:rFonts w:cs="Abz-2 (Badr)"/>
          <w:color w:val="000000" w:themeColor="text1"/>
          <w:sz w:val="28"/>
          <w:szCs w:val="28"/>
          <w:rtl/>
          <w:lang w:bidi="fa-IR"/>
        </w:rPr>
        <w:t>د دونها</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لأن</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منافع</w:t>
      </w:r>
      <w:r>
        <w:rPr>
          <w:rFonts w:cs="Abz-2 (Badr)" w:hint="cs"/>
          <w:color w:val="000000" w:themeColor="text1"/>
          <w:sz w:val="28"/>
          <w:szCs w:val="28"/>
          <w:rtl/>
          <w:lang w:bidi="fa-IR"/>
        </w:rPr>
        <w:t xml:space="preserve"> </w:t>
      </w:r>
      <w:r w:rsidRPr="001971CF">
        <w:rPr>
          <w:rFonts w:cs="Abz-2 (Badr)"/>
          <w:color w:val="000000" w:themeColor="text1"/>
          <w:sz w:val="28"/>
          <w:szCs w:val="28"/>
          <w:rtl/>
          <w:lang w:bidi="fa-IR"/>
        </w:rPr>
        <w:t>البضع حق</w:t>
      </w:r>
      <w:r>
        <w:rPr>
          <w:rFonts w:cs="Abz-2 (Badr)" w:hint="cs"/>
          <w:color w:val="000000" w:themeColor="text1"/>
          <w:sz w:val="28"/>
          <w:szCs w:val="28"/>
          <w:rtl/>
          <w:lang w:bidi="fa-IR"/>
        </w:rPr>
        <w:t>ّ</w:t>
      </w:r>
      <w:r w:rsidRPr="001971CF">
        <w:rPr>
          <w:rFonts w:cs="Abz-2 (Badr)"/>
          <w:color w:val="000000" w:themeColor="text1"/>
          <w:sz w:val="28"/>
          <w:szCs w:val="28"/>
          <w:rtl/>
          <w:lang w:bidi="fa-IR"/>
        </w:rPr>
        <w:t xml:space="preserve"> له خاص</w:t>
      </w:r>
      <w:r>
        <w:rPr>
          <w:rFonts w:cs="Abz-2 (Badr)" w:hint="cs"/>
          <w:color w:val="000000" w:themeColor="text1"/>
          <w:sz w:val="28"/>
          <w:szCs w:val="28"/>
          <w:rtl/>
          <w:lang w:bidi="fa-IR"/>
        </w:rPr>
        <w:t>ّ</w:t>
      </w:r>
      <w:r w:rsidRPr="001971CF">
        <w:rPr>
          <w:rFonts w:cs="Abz-2 (Badr)"/>
          <w:color w:val="000000" w:themeColor="text1"/>
          <w:sz w:val="28"/>
          <w:szCs w:val="28"/>
          <w:rtl/>
          <w:lang w:bidi="fa-IR"/>
        </w:rPr>
        <w:t>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076400A9"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با توجه به کلمات مذکور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 که چند قول در رجوع به مهر وجود دارد:</w:t>
      </w:r>
    </w:p>
    <w:p w14:paraId="2279FBDC"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1 ـ رجوع به کل مهر، چه مدلّس زوجه باشد و چه ولی يا مولا.</w:t>
      </w:r>
    </w:p>
    <w:p w14:paraId="3CBFDDB2"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2 ـ رجوع به کل مهر اگر مدلّس ولی يا مولا باشد و رجوع به بيش از اقل مهر المثل اگر مدلّس زوجه باشد.</w:t>
      </w:r>
    </w:p>
    <w:p w14:paraId="27A8C70A"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3 ـ رجوع به بيش از اقل مهر المثل، چه مدلّس زوجه باشد و چه ولی يا مولا.</w:t>
      </w:r>
    </w:p>
    <w:p w14:paraId="10E88827"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4 ـ رجوع به اقل ما له الماليّة اگر مدلّس ولی باشد.</w:t>
      </w:r>
    </w:p>
    <w:p w14:paraId="43BBF884"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بلکه صاحب جواهر فرموده که قول صدوق در مقنع و شيخ در نهايه که سابقاً گذشت مبنی بر وجوب دفع عشر قيمت ـ اگر امه باکره بود ـ و نصف آن ـ اگر ثيّبه بوده ـ به مولا، ممکن است بر خصوص تدليس مولا حمل شود، زيرا دلالت صحيحه وليد بن صبيح</w:t>
      </w:r>
      <w:r w:rsidRPr="00655B6C">
        <w:rPr>
          <w:rFonts w:cs="Abz-2 (Badr)"/>
          <w:color w:val="000000" w:themeColor="text1"/>
          <w:sz w:val="28"/>
          <w:szCs w:val="28"/>
          <w:vertAlign w:val="superscript"/>
          <w:rtl/>
          <w:lang w:bidi="fa-IR"/>
        </w:rPr>
        <w:footnoteReference w:id="3"/>
      </w:r>
      <w:r>
        <w:rPr>
          <w:rFonts w:cs="Abz-2 (Badr)" w:hint="cs"/>
          <w:color w:val="000000" w:themeColor="text1"/>
          <w:sz w:val="28"/>
          <w:szCs w:val="28"/>
          <w:rtl/>
          <w:lang w:bidi="fa-IR"/>
        </w:rPr>
        <w:t xml:space="preserve"> بر آن، مخصوص به مورد تدليس مولاست.</w:t>
      </w:r>
      <w:r w:rsidRPr="002D27AB">
        <w:rPr>
          <w:rStyle w:val="FootnoteReference"/>
          <w:rFonts w:cs="Abz-2 (Badr)"/>
          <w:sz w:val="28"/>
          <w:szCs w:val="28"/>
          <w:rtl/>
          <w:lang w:bidi="fa-IR"/>
        </w:rPr>
        <w:footnoteReference w:id="4"/>
      </w:r>
    </w:p>
    <w:p w14:paraId="1D39AA36" w14:textId="77777777" w:rsidR="00054C3B" w:rsidRDefault="00054C3B" w:rsidP="00054C3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از اخبار مقام و قاعده غرور استفاده می</w:t>
      </w:r>
      <w:r>
        <w:rPr>
          <w:rFonts w:cs="Abz-2 (Badr)"/>
          <w:color w:val="000000" w:themeColor="text1"/>
          <w:sz w:val="28"/>
          <w:szCs w:val="28"/>
          <w:rtl/>
          <w:lang w:bidi="fa-IR"/>
        </w:rPr>
        <w:softHyphen/>
      </w:r>
      <w:r>
        <w:rPr>
          <w:rFonts w:cs="Abz-2 (Badr)" w:hint="cs"/>
          <w:color w:val="000000" w:themeColor="text1"/>
          <w:sz w:val="28"/>
          <w:szCs w:val="28"/>
          <w:rtl/>
          <w:lang w:bidi="fa-IR"/>
        </w:rPr>
        <w:t>شود، اين است که قول</w:t>
      </w:r>
      <w:r>
        <w:rPr>
          <w:rFonts w:cs="Abz-2 (Badr)"/>
          <w:color w:val="000000" w:themeColor="text1"/>
          <w:sz w:val="28"/>
          <w:szCs w:val="28"/>
          <w:rtl/>
          <w:lang w:bidi="fa-IR"/>
        </w:rPr>
        <w:softHyphen/>
      </w:r>
      <w:r>
        <w:rPr>
          <w:rFonts w:cs="Abz-2 (Badr)" w:hint="cs"/>
          <w:color w:val="000000" w:themeColor="text1"/>
          <w:sz w:val="28"/>
          <w:szCs w:val="28"/>
          <w:rtl/>
          <w:lang w:bidi="fa-IR"/>
        </w:rPr>
        <w:t>های ديگر غير از قول اول، وجهی ندارند، زيرا در مورد حرّه، وجهی برای عوضيّت مهر در برابر بضع وجود ندارد تا گفته شود که چون دخول صورت گرفته لاجرم بايد عوضی برای آن پرداخت شود، بلکه اخباری که دلالت بر عدم مهر در صورت تدليس زوجه دارند، مقيّد اطلاقاتی هستند که دلالت بر ثبوت مهر با دخول می</w:t>
      </w:r>
      <w:r>
        <w:rPr>
          <w:rFonts w:cs="Abz-2 (Badr)"/>
          <w:color w:val="000000" w:themeColor="text1"/>
          <w:sz w:val="28"/>
          <w:szCs w:val="28"/>
          <w:rtl/>
          <w:lang w:bidi="fa-IR"/>
        </w:rPr>
        <w:softHyphen/>
      </w:r>
      <w:r>
        <w:rPr>
          <w:rFonts w:cs="Abz-2 (Badr)" w:hint="cs"/>
          <w:color w:val="000000" w:themeColor="text1"/>
          <w:sz w:val="28"/>
          <w:szCs w:val="28"/>
          <w:rtl/>
          <w:lang w:bidi="fa-IR"/>
        </w:rPr>
        <w:t>کنند. بله، چنانچه خود زوجه مدلسه نباشد، استحقاق مهرالمسمی را خواهد داشت ولی زوج حق دارد آن را از مدلّس مطابه نمايد.</w:t>
      </w:r>
    </w:p>
    <w:p w14:paraId="48438D51" w14:textId="51098D27" w:rsidR="00054C3B" w:rsidRDefault="00054C3B" w:rsidP="001C310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و در مورد امه اگرچه عوضيت برقرار است ـ چون امه مال مولاست و منافع آن از جمله دخول به وی دارای قيمت </w:t>
      </w:r>
      <w:r>
        <w:rPr>
          <w:rFonts w:cs="Abz-2 (Badr)" w:hint="cs"/>
          <w:color w:val="000000" w:themeColor="text1"/>
          <w:sz w:val="28"/>
          <w:szCs w:val="28"/>
          <w:rtl/>
          <w:lang w:bidi="fa-IR"/>
        </w:rPr>
        <w:lastRenderedPageBreak/>
        <w:t>است ـ اما چنانچه مولا تدليس کرده باشد، وجهی برای اين که استحقاق عوض را داشته باشد ندارد، چون خود مولا مال خود را در معرض تلف قرار داده است. و چنانچه مدلس غير مولا باشد، مهرالمسمّی به او پرداخت می</w:t>
      </w:r>
      <w:r>
        <w:rPr>
          <w:rFonts w:cs="Abz-2 (Badr)"/>
          <w:color w:val="000000" w:themeColor="text1"/>
          <w:sz w:val="28"/>
          <w:szCs w:val="28"/>
          <w:rtl/>
          <w:lang w:bidi="fa-IR"/>
        </w:rPr>
        <w:softHyphen/>
      </w:r>
      <w:r>
        <w:rPr>
          <w:rFonts w:cs="Abz-2 (Badr)" w:hint="cs"/>
          <w:color w:val="000000" w:themeColor="text1"/>
          <w:sz w:val="28"/>
          <w:szCs w:val="28"/>
          <w:rtl/>
          <w:lang w:bidi="fa-IR"/>
        </w:rPr>
        <w:t>شود و از مدلّس دريافت 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18A89438" w14:textId="77777777" w:rsidR="001C3107" w:rsidRDefault="001C3107" w:rsidP="001C310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چنانچه مدلّس خود امه باشد، آنچه که در کلام محقق گذشت اين بود که زوج بايد عوض بضع را به مولای او بپردازد ولی می</w:t>
      </w:r>
      <w:r>
        <w:rPr>
          <w:rFonts w:cs="Abz-2 (Badr)"/>
          <w:color w:val="000000" w:themeColor="text1"/>
          <w:sz w:val="28"/>
          <w:szCs w:val="28"/>
          <w:rtl/>
          <w:lang w:bidi="fa-IR"/>
        </w:rPr>
        <w:softHyphen/>
      </w:r>
      <w:r>
        <w:rPr>
          <w:rFonts w:cs="Abz-2 (Badr)" w:hint="cs"/>
          <w:color w:val="000000" w:themeColor="text1"/>
          <w:sz w:val="28"/>
          <w:szCs w:val="28"/>
          <w:rtl/>
          <w:lang w:bidi="fa-IR"/>
        </w:rPr>
        <w:t>تواند بعد از عتق مستند به قاعده غرور عوض آن را از زوجه مطالبه کند.</w:t>
      </w:r>
    </w:p>
    <w:p w14:paraId="164AE9C2" w14:textId="77777777" w:rsidR="001C3107" w:rsidRDefault="001C3107" w:rsidP="001C310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مهر را به امه پرداخته باشد، در صورتی که عين آن باقی باشد، آن را از وی گرفته و عين آن ـ اگر مهر عين خارجی بوده ـ و يا افراد ديگری از مهر را ـ اگر مهر کلی بوده ـ به مولا می</w:t>
      </w:r>
      <w:r>
        <w:rPr>
          <w:rFonts w:cs="Abz-2 (Badr)"/>
          <w:color w:val="000000" w:themeColor="text1"/>
          <w:sz w:val="28"/>
          <w:szCs w:val="28"/>
          <w:rtl/>
          <w:lang w:bidi="fa-IR"/>
        </w:rPr>
        <w:softHyphen/>
      </w:r>
      <w:r>
        <w:rPr>
          <w:rFonts w:cs="Abz-2 (Badr)" w:hint="cs"/>
          <w:color w:val="000000" w:themeColor="text1"/>
          <w:sz w:val="28"/>
          <w:szCs w:val="28"/>
          <w:rtl/>
          <w:lang w:bidi="fa-IR"/>
        </w:rPr>
        <w:t>پردازد. ولی در صورتی که عين يا بعضی از آن تلف شده باشد، زوج مهر را از طرف خود به مولا پرداخته و مهر پرداختی به مولا و مهر داده شده به امه هر دو را بعد از عتق وی از او مطالبه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52F680E8" w14:textId="77777777" w:rsidR="001C3107" w:rsidRDefault="001C3107" w:rsidP="001C310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ممکن است گفته شود: اگر مهر به امه پرداخت شده باشد و در نزد او تلف شده باشد، مولا ديگر نمی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زوج رجوع کند، چون امه که ملک خود اوست مال او را اتلاف کرده است.</w:t>
      </w:r>
    </w:p>
    <w:p w14:paraId="7678F053" w14:textId="26DFAA4C" w:rsidR="001C3107" w:rsidRPr="006B347E" w:rsidRDefault="001C3107" w:rsidP="00955EBA">
      <w:pPr>
        <w:widowControl w:val="0"/>
        <w:bidi/>
        <w:spacing w:after="0"/>
        <w:ind w:firstLine="284"/>
        <w:jc w:val="both"/>
        <w:rPr>
          <w:rFonts w:cs="Abz-2 (Badr)"/>
          <w:color w:val="000000" w:themeColor="text1"/>
          <w:sz w:val="28"/>
          <w:szCs w:val="28"/>
          <w:vertAlign w:val="subscript"/>
          <w:lang w:bidi="fa-IR"/>
        </w:rPr>
      </w:pPr>
      <w:r>
        <w:rPr>
          <w:rFonts w:cs="Abz-2 (Badr)" w:hint="cs"/>
          <w:color w:val="000000" w:themeColor="text1"/>
          <w:sz w:val="28"/>
          <w:szCs w:val="28"/>
          <w:rtl/>
          <w:lang w:bidi="fa-IR"/>
        </w:rPr>
        <w:t>اما اين مطلب در صورتی قابل التزام است که دفع مهر به امه به امر مولا بوده باشد، وگرنه وجهی برای اين که ذمه زوج با دادن مهر به امه بریء شده باشد و لازم نباشد که چيزی به مولا بپردازد، وجود ندارد.</w:t>
      </w:r>
    </w:p>
    <w:p w14:paraId="1D3EA871" w14:textId="25014FF6" w:rsidR="00451E5F" w:rsidRPr="00054C3B" w:rsidRDefault="00451E5F" w:rsidP="00054C3B">
      <w:pPr>
        <w:widowControl w:val="0"/>
        <w:bidi/>
        <w:spacing w:after="0" w:line="262" w:lineRule="auto"/>
        <w:ind w:firstLine="284"/>
        <w:jc w:val="both"/>
        <w:rPr>
          <w:rFonts w:cs="Abz-2 (Badr)"/>
          <w:color w:val="000000" w:themeColor="text1"/>
          <w:sz w:val="28"/>
          <w:szCs w:val="28"/>
          <w:lang w:bidi="fa-IR"/>
        </w:rPr>
      </w:pPr>
    </w:p>
    <w:bookmarkEnd w:id="0"/>
    <w:bookmarkEnd w:id="1"/>
    <w:sectPr w:rsidR="00451E5F" w:rsidRPr="00054C3B">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2914300" w14:textId="77777777" w:rsidR="00054C3B" w:rsidRPr="002D27AB" w:rsidRDefault="00054C3B" w:rsidP="00054C3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قواعد،ج3،ص70.</w:t>
      </w:r>
    </w:p>
  </w:footnote>
  <w:footnote w:id="2">
    <w:p w14:paraId="79C44A63" w14:textId="77777777" w:rsidR="00054C3B" w:rsidRPr="002D27AB" w:rsidRDefault="00054C3B" w:rsidP="00054C3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المقاصد،ج13،ص289 و 290.</w:t>
      </w:r>
    </w:p>
  </w:footnote>
  <w:footnote w:id="3">
    <w:p w14:paraId="7A66ADAD" w14:textId="77777777" w:rsidR="00054C3B" w:rsidRPr="00655B6C" w:rsidRDefault="00054C3B" w:rsidP="00054C3B">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کافی،ج5،ص404 و 405،ح1 ـ وسائل،ج21،ص185 و 186،ح26859</w:t>
      </w:r>
      <w:r w:rsidRPr="00655B6C">
        <w:rPr>
          <w:rFonts w:cs="Abz-2 (Badr)" w:hint="cs"/>
          <w:sz w:val="22"/>
          <w:szCs w:val="22"/>
          <w:rtl/>
        </w:rPr>
        <w:t>.</w:t>
      </w:r>
    </w:p>
  </w:footnote>
  <w:footnote w:id="4">
    <w:p w14:paraId="5021AD79" w14:textId="77777777" w:rsidR="00054C3B" w:rsidRPr="002D27AB" w:rsidRDefault="00054C3B" w:rsidP="00054C3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4C3B"/>
    <w:rsid w:val="000577BF"/>
    <w:rsid w:val="0007062A"/>
    <w:rsid w:val="00084447"/>
    <w:rsid w:val="000879BF"/>
    <w:rsid w:val="0009649A"/>
    <w:rsid w:val="000B64A7"/>
    <w:rsid w:val="000C4957"/>
    <w:rsid w:val="000D0B46"/>
    <w:rsid w:val="000E1CDA"/>
    <w:rsid w:val="000E2156"/>
    <w:rsid w:val="000F2E50"/>
    <w:rsid w:val="00101B80"/>
    <w:rsid w:val="001050A2"/>
    <w:rsid w:val="001149FA"/>
    <w:rsid w:val="001420FB"/>
    <w:rsid w:val="00145844"/>
    <w:rsid w:val="00150806"/>
    <w:rsid w:val="0015228E"/>
    <w:rsid w:val="001922E4"/>
    <w:rsid w:val="001B2ADB"/>
    <w:rsid w:val="001C3107"/>
    <w:rsid w:val="001D1305"/>
    <w:rsid w:val="001D4A4D"/>
    <w:rsid w:val="002133D5"/>
    <w:rsid w:val="0021414D"/>
    <w:rsid w:val="002829CF"/>
    <w:rsid w:val="00295DC1"/>
    <w:rsid w:val="0029688A"/>
    <w:rsid w:val="002A09CF"/>
    <w:rsid w:val="002A6FA3"/>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F446D"/>
    <w:rsid w:val="00521235"/>
    <w:rsid w:val="005327C7"/>
    <w:rsid w:val="005532E0"/>
    <w:rsid w:val="005751F1"/>
    <w:rsid w:val="005B6905"/>
    <w:rsid w:val="0060689C"/>
    <w:rsid w:val="00621F9A"/>
    <w:rsid w:val="00625979"/>
    <w:rsid w:val="00690AFD"/>
    <w:rsid w:val="006A4420"/>
    <w:rsid w:val="006B2F35"/>
    <w:rsid w:val="006C580F"/>
    <w:rsid w:val="006F1A47"/>
    <w:rsid w:val="0070259D"/>
    <w:rsid w:val="00703021"/>
    <w:rsid w:val="00706DD2"/>
    <w:rsid w:val="00731C05"/>
    <w:rsid w:val="007374CF"/>
    <w:rsid w:val="00750FB1"/>
    <w:rsid w:val="00761208"/>
    <w:rsid w:val="007B47B9"/>
    <w:rsid w:val="00814C68"/>
    <w:rsid w:val="00875CD7"/>
    <w:rsid w:val="008869B4"/>
    <w:rsid w:val="008A2AD3"/>
    <w:rsid w:val="008C3DDD"/>
    <w:rsid w:val="008D1155"/>
    <w:rsid w:val="008D55B7"/>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E2B08"/>
    <w:rsid w:val="00A1285F"/>
    <w:rsid w:val="00A17467"/>
    <w:rsid w:val="00A17781"/>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129A8"/>
    <w:rsid w:val="00C23C75"/>
    <w:rsid w:val="00C6529A"/>
    <w:rsid w:val="00C8378C"/>
    <w:rsid w:val="00C9359C"/>
    <w:rsid w:val="00C9572F"/>
    <w:rsid w:val="00CA0BC4"/>
    <w:rsid w:val="00CC241E"/>
    <w:rsid w:val="00CC2540"/>
    <w:rsid w:val="00CD08A2"/>
    <w:rsid w:val="00CD52E6"/>
    <w:rsid w:val="00D20C84"/>
    <w:rsid w:val="00D22A70"/>
    <w:rsid w:val="00D663C8"/>
    <w:rsid w:val="00D81BE3"/>
    <w:rsid w:val="00D94EC6"/>
    <w:rsid w:val="00D97411"/>
    <w:rsid w:val="00DC37E2"/>
    <w:rsid w:val="00E01FDF"/>
    <w:rsid w:val="00E214D7"/>
    <w:rsid w:val="00E2487C"/>
    <w:rsid w:val="00E55342"/>
    <w:rsid w:val="00E6533A"/>
    <w:rsid w:val="00E749D3"/>
    <w:rsid w:val="00E77A81"/>
    <w:rsid w:val="00ED3BC0"/>
    <w:rsid w:val="00ED7F5C"/>
    <w:rsid w:val="00EE25C0"/>
    <w:rsid w:val="00F03C99"/>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64</cp:revision>
  <cp:lastPrinted>2022-10-31T08:10:00Z</cp:lastPrinted>
  <dcterms:created xsi:type="dcterms:W3CDTF">2022-10-16T08:36:00Z</dcterms:created>
  <dcterms:modified xsi:type="dcterms:W3CDTF">2022-11-01T07:17:00Z</dcterms:modified>
</cp:coreProperties>
</file>