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4750A7B6"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50</w:t>
      </w:r>
      <w:r w:rsidR="00616B2F">
        <w:rPr>
          <w:rFonts w:cs="B Mitra" w:hint="cs"/>
          <w:b/>
          <w:bCs/>
          <w:sz w:val="32"/>
          <w:szCs w:val="32"/>
          <w:rtl/>
          <w:lang w:bidi="fa-IR"/>
        </w:rPr>
        <w:t>7</w:t>
      </w:r>
    </w:p>
    <w:p w14:paraId="597601A7" w14:textId="77777777" w:rsidR="00616B2F" w:rsidRPr="00F97DBE" w:rsidRDefault="00616B2F" w:rsidP="00616B2F">
      <w:pPr>
        <w:widowControl w:val="0"/>
        <w:bidi/>
        <w:spacing w:after="0" w:line="264" w:lineRule="auto"/>
        <w:ind w:firstLine="284"/>
        <w:jc w:val="both"/>
        <w:rPr>
          <w:rFonts w:cs="Abz-2 (Badr)"/>
          <w:color w:val="000000" w:themeColor="text1"/>
          <w:spacing w:val="-2"/>
          <w:sz w:val="28"/>
          <w:szCs w:val="28"/>
          <w:rtl/>
          <w:lang w:bidi="fa-IR"/>
        </w:rPr>
      </w:pPr>
      <w:bookmarkStart w:id="0" w:name="_Hlk117452648"/>
      <w:bookmarkStart w:id="1" w:name="_Hlk117414211"/>
      <w:r w:rsidRPr="00F97DBE">
        <w:rPr>
          <w:rFonts w:cs="Abz-2 (Badr)" w:hint="cs"/>
          <w:color w:val="000000" w:themeColor="text1"/>
          <w:spacing w:val="-2"/>
          <w:sz w:val="28"/>
          <w:szCs w:val="28"/>
          <w:rtl/>
          <w:lang w:bidi="fa-IR"/>
        </w:rPr>
        <w:t>آنچه در خصوص جواز فسخ زوج گفته شد، در جايی بود که مدلّس غير مولا باشد. ولی چنانچه مولا امه را با تدليس به حره بودن او به نکاح کسی درآورد، شيخ قائل به صحت عقد و عدم خيار در آن در بعضی از صور شده است.</w:t>
      </w:r>
    </w:p>
    <w:p w14:paraId="1F2A5410" w14:textId="77777777" w:rsidR="00616B2F" w:rsidRPr="00CD6CFA" w:rsidRDefault="00616B2F" w:rsidP="00616B2F">
      <w:pPr>
        <w:widowControl w:val="0"/>
        <w:bidi/>
        <w:spacing w:after="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الشيخ في المبسوط: «</w:t>
      </w:r>
      <w:r w:rsidRPr="00CD6CFA">
        <w:rPr>
          <w:rFonts w:cs="Abz-2 (Badr)"/>
          <w:color w:val="000000" w:themeColor="text1"/>
          <w:sz w:val="28"/>
          <w:szCs w:val="28"/>
          <w:rtl/>
          <w:lang w:bidi="fa-IR"/>
        </w:rPr>
        <w:t>إذا تزو</w:t>
      </w:r>
      <w:r>
        <w:rPr>
          <w:rFonts w:cs="Abz-2 (Badr)" w:hint="cs"/>
          <w:color w:val="000000" w:themeColor="text1"/>
          <w:sz w:val="28"/>
          <w:szCs w:val="28"/>
          <w:rtl/>
          <w:lang w:bidi="fa-IR"/>
        </w:rPr>
        <w:t>ّ</w:t>
      </w:r>
      <w:r w:rsidRPr="00CD6CFA">
        <w:rPr>
          <w:rFonts w:cs="Abz-2 (Badr)"/>
          <w:color w:val="000000" w:themeColor="text1"/>
          <w:sz w:val="28"/>
          <w:szCs w:val="28"/>
          <w:rtl/>
          <w:lang w:bidi="fa-IR"/>
        </w:rPr>
        <w:t>ج الحر</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امرأة على أن</w:t>
      </w:r>
      <w:r>
        <w:rPr>
          <w:rFonts w:cs="Abz-2 (Badr)" w:hint="cs"/>
          <w:color w:val="000000" w:themeColor="text1"/>
          <w:sz w:val="28"/>
          <w:szCs w:val="28"/>
          <w:rtl/>
          <w:lang w:bidi="fa-IR"/>
        </w:rPr>
        <w:t>ّ</w:t>
      </w:r>
      <w:r w:rsidRPr="00CD6CFA">
        <w:rPr>
          <w:rFonts w:cs="Abz-2 (Badr)"/>
          <w:color w:val="000000" w:themeColor="text1"/>
          <w:sz w:val="28"/>
          <w:szCs w:val="28"/>
          <w:rtl/>
          <w:lang w:bidi="fa-IR"/>
        </w:rPr>
        <w:t>ها حر</w:t>
      </w:r>
      <w:r>
        <w:rPr>
          <w:rFonts w:cs="Abz-2 (Badr)" w:hint="cs"/>
          <w:color w:val="000000" w:themeColor="text1"/>
          <w:sz w:val="28"/>
          <w:szCs w:val="28"/>
          <w:rtl/>
          <w:lang w:bidi="fa-IR"/>
        </w:rPr>
        <w:t>ّ</w:t>
      </w:r>
      <w:r w:rsidRPr="00CD6CFA">
        <w:rPr>
          <w:rFonts w:cs="Abz-2 (Badr)"/>
          <w:color w:val="000000" w:themeColor="text1"/>
          <w:sz w:val="28"/>
          <w:szCs w:val="28"/>
          <w:rtl/>
          <w:lang w:bidi="fa-IR"/>
        </w:rPr>
        <w:t>ة فبانت أمة</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كان النكاح فاسدا</w:t>
      </w:r>
      <w:r>
        <w:rPr>
          <w:rFonts w:cs="Abz-2 (Badr)" w:hint="cs"/>
          <w:color w:val="000000" w:themeColor="text1"/>
          <w:sz w:val="28"/>
          <w:szCs w:val="28"/>
          <w:rtl/>
          <w:lang w:bidi="fa-IR"/>
        </w:rPr>
        <w:t xml:space="preserve">ً. </w:t>
      </w:r>
      <w:r w:rsidRPr="00CD6CFA">
        <w:rPr>
          <w:rFonts w:cs="Abz-2 (Badr)"/>
          <w:color w:val="000000" w:themeColor="text1"/>
          <w:sz w:val="28"/>
          <w:szCs w:val="28"/>
          <w:rtl/>
          <w:lang w:bidi="fa-IR"/>
        </w:rPr>
        <w:t>وقال قوم يصح</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العقد</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وتصح</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هذه المسئلة بأربعة شرائط: </w:t>
      </w:r>
    </w:p>
    <w:p w14:paraId="35E7AEF9" w14:textId="77777777" w:rsidR="00616B2F" w:rsidRDefault="00616B2F" w:rsidP="00616B2F">
      <w:pPr>
        <w:widowControl w:val="0"/>
        <w:bidi/>
        <w:spacing w:after="0" w:line="264" w:lineRule="auto"/>
        <w:ind w:firstLine="284"/>
        <w:jc w:val="both"/>
        <w:rPr>
          <w:rFonts w:cs="Abz-2 (Badr)"/>
          <w:color w:val="000000" w:themeColor="text1"/>
          <w:sz w:val="28"/>
          <w:szCs w:val="28"/>
          <w:rtl/>
          <w:lang w:bidi="fa-IR"/>
        </w:rPr>
      </w:pPr>
      <w:r w:rsidRPr="00F33C75">
        <w:rPr>
          <w:rFonts w:cs="Abz-2 (Badr)"/>
          <w:color w:val="000000" w:themeColor="text1"/>
          <w:spacing w:val="-4"/>
          <w:sz w:val="28"/>
          <w:szCs w:val="28"/>
          <w:rtl/>
          <w:lang w:bidi="fa-IR"/>
        </w:rPr>
        <w:t>أحدها</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 xml:space="preserve"> أن يكون الحر</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 xml:space="preserve"> مم</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ن يحل</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 xml:space="preserve"> له نكاح أمة</w:t>
      </w:r>
      <w:r w:rsidRPr="00F33C75">
        <w:rPr>
          <w:rFonts w:cs="Abz-2 (Badr)" w:hint="cs"/>
          <w:color w:val="000000" w:themeColor="text1"/>
          <w:spacing w:val="-4"/>
          <w:sz w:val="28"/>
          <w:szCs w:val="28"/>
          <w:rtl/>
          <w:lang w:bidi="fa-IR"/>
        </w:rPr>
        <w:t xml:space="preserve">... </w:t>
      </w:r>
      <w:r w:rsidRPr="00F33C75">
        <w:rPr>
          <w:rFonts w:cs="Abz-2 (Badr)"/>
          <w:color w:val="000000" w:themeColor="text1"/>
          <w:spacing w:val="-4"/>
          <w:sz w:val="28"/>
          <w:szCs w:val="28"/>
          <w:rtl/>
          <w:lang w:bidi="fa-IR"/>
        </w:rPr>
        <w:t>والثاني</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 xml:space="preserve"> أن يكون النكاح ب</w:t>
      </w:r>
      <w:r w:rsidRPr="00F33C75">
        <w:rPr>
          <w:rFonts w:cs="Abz-2 (Badr)" w:hint="cs"/>
          <w:color w:val="000000" w:themeColor="text1"/>
          <w:spacing w:val="-4"/>
          <w:sz w:val="28"/>
          <w:szCs w:val="28"/>
          <w:rtl/>
          <w:lang w:bidi="fa-IR"/>
        </w:rPr>
        <w:t>إ</w:t>
      </w:r>
      <w:r w:rsidRPr="00F33C75">
        <w:rPr>
          <w:rFonts w:cs="Abz-2 (Badr)"/>
          <w:color w:val="000000" w:themeColor="text1"/>
          <w:spacing w:val="-4"/>
          <w:sz w:val="28"/>
          <w:szCs w:val="28"/>
          <w:rtl/>
          <w:lang w:bidi="fa-IR"/>
        </w:rPr>
        <w:t>ذن سي</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دها</w:t>
      </w:r>
      <w:r w:rsidRPr="00F33C75">
        <w:rPr>
          <w:rFonts w:cs="Abz-2 (Badr)" w:hint="cs"/>
          <w:color w:val="000000" w:themeColor="text1"/>
          <w:spacing w:val="-4"/>
          <w:sz w:val="28"/>
          <w:szCs w:val="28"/>
          <w:rtl/>
          <w:lang w:bidi="fa-IR"/>
        </w:rPr>
        <w:t xml:space="preserve">... </w:t>
      </w:r>
      <w:r w:rsidRPr="00F33C75">
        <w:rPr>
          <w:rFonts w:cs="Abz-2 (Badr)"/>
          <w:color w:val="000000" w:themeColor="text1"/>
          <w:spacing w:val="-4"/>
          <w:sz w:val="28"/>
          <w:szCs w:val="28"/>
          <w:rtl/>
          <w:lang w:bidi="fa-IR"/>
        </w:rPr>
        <w:t>الثالث</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 xml:space="preserve"> أن يكون الشرط مقارنا</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 xml:space="preserve"> للعقد</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 xml:space="preserve"> الرابع</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 xml:space="preserve"> أن يكون الغار</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 xml:space="preserve"> الأمة أو وكيل السي</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د، وأم</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ا إن كان السي</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د هو الذي يغر</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ه كان قوله على أن</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ها حر</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ة عتقا</w:t>
      </w:r>
      <w:r w:rsidRPr="00F33C75">
        <w:rPr>
          <w:rFonts w:cs="Abz-2 (Badr)" w:hint="cs"/>
          <w:color w:val="000000" w:themeColor="text1"/>
          <w:spacing w:val="-4"/>
          <w:sz w:val="28"/>
          <w:szCs w:val="28"/>
          <w:rtl/>
          <w:lang w:bidi="fa-IR"/>
        </w:rPr>
        <w:t>ً</w:t>
      </w:r>
      <w:r w:rsidRPr="00F33C75">
        <w:rPr>
          <w:rFonts w:cs="Abz-2 (Badr)"/>
          <w:color w:val="000000" w:themeColor="text1"/>
          <w:spacing w:val="-4"/>
          <w:sz w:val="28"/>
          <w:szCs w:val="28"/>
          <w:rtl/>
          <w:lang w:bidi="fa-IR"/>
        </w:rPr>
        <w:t xml:space="preserve"> منه لها.</w:t>
      </w:r>
      <w:r w:rsidRPr="00F33C75">
        <w:rPr>
          <w:rFonts w:cs="Abz-2 (Badr)" w:hint="cs"/>
          <w:color w:val="000000" w:themeColor="text1"/>
          <w:spacing w:val="-4"/>
          <w:sz w:val="28"/>
          <w:szCs w:val="28"/>
          <w:rtl/>
          <w:lang w:bidi="fa-IR"/>
        </w:rPr>
        <w:t>»</w:t>
      </w:r>
      <w:r w:rsidRPr="002D27AB">
        <w:rPr>
          <w:rStyle w:val="FootnoteReference"/>
          <w:rFonts w:cs="Abz-2 (Badr)"/>
          <w:sz w:val="28"/>
          <w:szCs w:val="28"/>
          <w:rtl/>
          <w:lang w:bidi="fa-IR"/>
        </w:rPr>
        <w:footnoteReference w:id="1"/>
      </w:r>
    </w:p>
    <w:p w14:paraId="14305309" w14:textId="77777777" w:rsidR="00616B2F" w:rsidRDefault="00616B2F" w:rsidP="00616B2F">
      <w:pPr>
        <w:widowControl w:val="0"/>
        <w:bidi/>
        <w:spacing w:after="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وقال الشهيد الثاني في المسال</w:t>
      </w:r>
      <w:r>
        <w:rPr>
          <w:rFonts w:cs="Abz-2 (Badr)" w:hint="cs"/>
          <w:color w:val="000000" w:themeColor="text1"/>
          <w:sz w:val="28"/>
          <w:szCs w:val="28"/>
          <w:rtl/>
        </w:rPr>
        <w:t>ك</w:t>
      </w:r>
      <w:r>
        <w:rPr>
          <w:rFonts w:cs="Abz-2 (Badr)" w:hint="cs"/>
          <w:color w:val="000000" w:themeColor="text1"/>
          <w:sz w:val="28"/>
          <w:szCs w:val="28"/>
          <w:rtl/>
          <w:lang w:bidi="fa-IR"/>
        </w:rPr>
        <w:t>: «</w:t>
      </w:r>
      <w:r w:rsidRPr="00CD6CFA">
        <w:rPr>
          <w:rFonts w:cs="Abz-2 (Badr)"/>
          <w:color w:val="000000" w:themeColor="text1"/>
          <w:sz w:val="28"/>
          <w:szCs w:val="28"/>
          <w:rtl/>
          <w:lang w:bidi="fa-IR"/>
        </w:rPr>
        <w:t>إن كان المدلّس المولى، فإن تلفّظ بما يقتضي العتق</w:t>
      </w:r>
      <w:r>
        <w:rPr>
          <w:rFonts w:cs="Abz-2 (Badr)" w:hint="cs"/>
          <w:color w:val="000000" w:themeColor="text1"/>
          <w:sz w:val="28"/>
          <w:szCs w:val="28"/>
          <w:rtl/>
          <w:lang w:bidi="fa-IR"/>
        </w:rPr>
        <w:t xml:space="preserve"> ـ</w:t>
      </w:r>
      <w:r w:rsidRPr="00CD6CFA">
        <w:rPr>
          <w:rFonts w:cs="Abz-2 (Badr)"/>
          <w:color w:val="000000" w:themeColor="text1"/>
          <w:sz w:val="28"/>
          <w:szCs w:val="28"/>
          <w:rtl/>
          <w:lang w:bidi="fa-IR"/>
        </w:rPr>
        <w:t xml:space="preserve"> كقوله: </w:t>
      </w:r>
      <w:r>
        <w:rPr>
          <w:rFonts w:cs="Abz-2 (Badr)" w:hint="cs"/>
          <w:color w:val="000000" w:themeColor="text1"/>
          <w:sz w:val="28"/>
          <w:szCs w:val="28"/>
          <w:rtl/>
          <w:lang w:bidi="fa-IR"/>
        </w:rPr>
        <w:t>«</w:t>
      </w:r>
      <w:r w:rsidRPr="00CD6CFA">
        <w:rPr>
          <w:rFonts w:cs="Abz-2 (Badr)"/>
          <w:color w:val="000000" w:themeColor="text1"/>
          <w:sz w:val="28"/>
          <w:szCs w:val="28"/>
          <w:rtl/>
          <w:lang w:bidi="fa-IR"/>
        </w:rPr>
        <w:t>هي حرّة</w:t>
      </w:r>
      <w:r>
        <w:rPr>
          <w:rFonts w:cs="Abz-2 (Badr)" w:hint="cs"/>
          <w:color w:val="000000" w:themeColor="text1"/>
          <w:sz w:val="28"/>
          <w:szCs w:val="28"/>
          <w:rtl/>
          <w:lang w:bidi="fa-IR"/>
        </w:rPr>
        <w:t>» ـ</w:t>
      </w:r>
      <w:r w:rsidRPr="00CD6CFA">
        <w:rPr>
          <w:rFonts w:cs="Abz-2 (Badr)"/>
          <w:color w:val="000000" w:themeColor="text1"/>
          <w:sz w:val="28"/>
          <w:szCs w:val="28"/>
          <w:rtl/>
          <w:lang w:bidi="fa-IR"/>
        </w:rPr>
        <w:t xml:space="preserve"> حكم عليه بحرّيتها، سواء جعله إنشاء</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أم إخبارا</w:t>
      </w:r>
      <w:r>
        <w:rPr>
          <w:rFonts w:cs="Abz-2 (Badr)" w:hint="cs"/>
          <w:color w:val="000000" w:themeColor="text1"/>
          <w:sz w:val="28"/>
          <w:szCs w:val="28"/>
          <w:rtl/>
          <w:lang w:bidi="fa-IR"/>
        </w:rPr>
        <w:t>ً</w:t>
      </w:r>
      <w:r w:rsidRPr="00CD6CFA">
        <w:rPr>
          <w:rFonts w:cs="Abz-2 (Badr)"/>
          <w:color w:val="000000" w:themeColor="text1"/>
          <w:sz w:val="28"/>
          <w:szCs w:val="28"/>
          <w:rtl/>
          <w:lang w:bidi="fa-IR"/>
        </w:rPr>
        <w:t>، إعمالا</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للسبب بحسب مقتضاه.</w:t>
      </w:r>
      <w:r>
        <w:rPr>
          <w:rFonts w:cs="Abz-2 (Badr)" w:hint="cs"/>
          <w:color w:val="000000" w:themeColor="text1"/>
          <w:sz w:val="28"/>
          <w:szCs w:val="28"/>
          <w:rtl/>
          <w:lang w:bidi="fa-IR"/>
        </w:rPr>
        <w:t xml:space="preserve"> </w:t>
      </w:r>
      <w:r w:rsidRPr="00CD6CFA">
        <w:rPr>
          <w:rFonts w:cs="Abz-2 (Badr)"/>
          <w:color w:val="000000" w:themeColor="text1"/>
          <w:sz w:val="28"/>
          <w:szCs w:val="28"/>
          <w:rtl/>
          <w:lang w:bidi="fa-IR"/>
        </w:rPr>
        <w:t>وحينئذ</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فيصحّ‌ العقد ويكون المهر لها دون السيّد.</w:t>
      </w:r>
      <w:r>
        <w:rPr>
          <w:rFonts w:cs="Abz-2 (Badr)" w:hint="cs"/>
          <w:color w:val="000000" w:themeColor="text1"/>
          <w:sz w:val="28"/>
          <w:szCs w:val="28"/>
          <w:rtl/>
          <w:lang w:bidi="fa-IR"/>
        </w:rPr>
        <w:t>.</w:t>
      </w:r>
      <w:r w:rsidRPr="00CD6CFA">
        <w:rPr>
          <w:rFonts w:cs="Abz-2 (Badr)"/>
          <w:color w:val="000000" w:themeColor="text1"/>
          <w:sz w:val="28"/>
          <w:szCs w:val="28"/>
          <w:rtl/>
          <w:lang w:bidi="fa-IR"/>
        </w:rPr>
        <w:t>. وإن لم يتلفّظ بما يقتضي العتق بل تكلّم بكلام يحتمل الحرّي</w:t>
      </w:r>
      <w:r>
        <w:rPr>
          <w:rFonts w:cs="Abz-2 (Badr)" w:hint="cs"/>
          <w:color w:val="000000" w:themeColor="text1"/>
          <w:sz w:val="28"/>
          <w:szCs w:val="28"/>
          <w:rtl/>
          <w:lang w:bidi="fa-IR"/>
        </w:rPr>
        <w:t>ّ</w:t>
      </w:r>
      <w:r w:rsidRPr="00CD6CFA">
        <w:rPr>
          <w:rFonts w:cs="Abz-2 (Badr)"/>
          <w:color w:val="000000" w:themeColor="text1"/>
          <w:sz w:val="28"/>
          <w:szCs w:val="28"/>
          <w:rtl/>
          <w:lang w:bidi="fa-IR"/>
        </w:rPr>
        <w:t>ة وغيرها ففهم الزوج منه الحرّية ونحو ذلك، فلا شيء للسيّد ولا لها، لأن</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الزوج يرجع به على تقدير الغرور على المدلّس، ولا وجه لغرامته له ثمّ الرجوع عليه به.</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2"/>
      </w:r>
    </w:p>
    <w:p w14:paraId="1CEE4C2D" w14:textId="77777777" w:rsidR="00616B2F" w:rsidRDefault="00616B2F" w:rsidP="00616B2F">
      <w:pPr>
        <w:widowControl w:val="0"/>
        <w:bidi/>
        <w:spacing w:after="0" w:line="264" w:lineRule="auto"/>
        <w:ind w:firstLine="284"/>
        <w:jc w:val="both"/>
        <w:rPr>
          <w:rFonts w:cs="Abz-2 (Badr)"/>
          <w:color w:val="000000" w:themeColor="text1"/>
          <w:spacing w:val="-2"/>
          <w:sz w:val="28"/>
          <w:szCs w:val="28"/>
          <w:rtl/>
          <w:lang w:bidi="fa-IR"/>
        </w:rPr>
      </w:pPr>
      <w:r w:rsidRPr="006F1A47">
        <w:rPr>
          <w:rFonts w:cs="Abz-2 (Badr)" w:hint="cs"/>
          <w:color w:val="000000" w:themeColor="text1"/>
          <w:spacing w:val="-2"/>
          <w:sz w:val="28"/>
          <w:szCs w:val="28"/>
          <w:rtl/>
          <w:lang w:bidi="fa-IR"/>
        </w:rPr>
        <w:t>آنچه که در کلمات اصحاب آمده است، مربوط به مقام اثبات است</w:t>
      </w:r>
      <w:r>
        <w:rPr>
          <w:rFonts w:cs="Abz-2 (Badr)" w:hint="cs"/>
          <w:color w:val="000000" w:themeColor="text1"/>
          <w:spacing w:val="-2"/>
          <w:sz w:val="28"/>
          <w:szCs w:val="28"/>
          <w:rtl/>
          <w:lang w:bidi="fa-IR"/>
        </w:rPr>
        <w:t>، اما در مقام ثبوت چنانچه معلوم باشد که مولا امه را آزاد نکرده است و از آنچه که گفته اراده عتق نداشته است، نمی</w:t>
      </w:r>
      <w:r>
        <w:rPr>
          <w:rFonts w:cs="Abz-2 (Badr)"/>
          <w:color w:val="000000" w:themeColor="text1"/>
          <w:spacing w:val="-2"/>
          <w:sz w:val="28"/>
          <w:szCs w:val="28"/>
          <w:rtl/>
          <w:lang w:bidi="fa-IR"/>
        </w:rPr>
        <w:softHyphen/>
      </w:r>
      <w:r>
        <w:rPr>
          <w:rFonts w:cs="Abz-2 (Badr)" w:hint="cs"/>
          <w:color w:val="000000" w:themeColor="text1"/>
          <w:spacing w:val="-2"/>
          <w:sz w:val="28"/>
          <w:szCs w:val="28"/>
          <w:rtl/>
          <w:lang w:bidi="fa-IR"/>
        </w:rPr>
        <w:t>توان به مجرد اين که در مقام تدليس گفته: اين زن حره است، حکم به حره بودن زن نمود.</w:t>
      </w:r>
    </w:p>
    <w:p w14:paraId="7CED0DE5" w14:textId="77777777" w:rsidR="00616B2F" w:rsidRDefault="00616B2F" w:rsidP="00616B2F">
      <w:pPr>
        <w:widowControl w:val="0"/>
        <w:bidi/>
        <w:spacing w:after="0" w:line="264" w:lineRule="auto"/>
        <w:ind w:firstLine="284"/>
        <w:jc w:val="both"/>
        <w:rPr>
          <w:rFonts w:cs="Abz-2 (Badr)"/>
          <w:color w:val="000000" w:themeColor="text1"/>
          <w:spacing w:val="-2"/>
          <w:sz w:val="28"/>
          <w:szCs w:val="28"/>
          <w:rtl/>
          <w:lang w:bidi="fa-IR"/>
        </w:rPr>
      </w:pPr>
      <w:r>
        <w:rPr>
          <w:rFonts w:cs="Abz-2 (Badr)" w:hint="cs"/>
          <w:color w:val="000000" w:themeColor="text1"/>
          <w:spacing w:val="-2"/>
          <w:sz w:val="28"/>
          <w:szCs w:val="28"/>
          <w:rtl/>
          <w:lang w:bidi="fa-IR"/>
        </w:rPr>
        <w:t>بلکه اگر کلام مولا ظهور در اخبار داشته باشد نه انشاء ـ مثل اين که بگويد: «تزوّج هذه الحرّة» ـ ممکن است نسبت به مقام اثبات نيز اشکال شود، بدين جهت که اخبار از حرّيّت موجب عتق نيست.</w:t>
      </w:r>
    </w:p>
    <w:p w14:paraId="2D3B0932" w14:textId="77777777" w:rsidR="00616B2F" w:rsidRDefault="00616B2F" w:rsidP="00616B2F">
      <w:pPr>
        <w:widowControl w:val="0"/>
        <w:bidi/>
        <w:spacing w:after="0" w:line="254" w:lineRule="auto"/>
        <w:ind w:firstLine="284"/>
        <w:jc w:val="both"/>
        <w:rPr>
          <w:rFonts w:cs="Abz-2 (Badr)"/>
          <w:color w:val="000000" w:themeColor="text1"/>
          <w:spacing w:val="-2"/>
          <w:sz w:val="28"/>
          <w:szCs w:val="28"/>
          <w:rtl/>
          <w:lang w:bidi="fa-IR"/>
        </w:rPr>
      </w:pPr>
      <w:r>
        <w:rPr>
          <w:rFonts w:cs="Abz-2 (Badr)" w:hint="cs"/>
          <w:color w:val="000000" w:themeColor="text1"/>
          <w:spacing w:val="-2"/>
          <w:sz w:val="28"/>
          <w:szCs w:val="28"/>
          <w:rtl/>
          <w:lang w:bidi="fa-IR"/>
        </w:rPr>
        <w:t>اما پاسخ اين است که اقرار از اماراتی است که اخذ به لوازم آن ممکن است، و چون لازمه اقرار به حرّيّت انشاء عتق در زمان سابق بر اخبار است، پس می</w:t>
      </w:r>
      <w:r>
        <w:rPr>
          <w:rFonts w:cs="Abz-2 (Badr)"/>
          <w:color w:val="000000" w:themeColor="text1"/>
          <w:spacing w:val="-2"/>
          <w:sz w:val="28"/>
          <w:szCs w:val="28"/>
          <w:rtl/>
          <w:lang w:bidi="fa-IR"/>
        </w:rPr>
        <w:softHyphen/>
      </w:r>
      <w:r>
        <w:rPr>
          <w:rFonts w:cs="Abz-2 (Badr)" w:hint="cs"/>
          <w:color w:val="000000" w:themeColor="text1"/>
          <w:spacing w:val="-2"/>
          <w:sz w:val="28"/>
          <w:szCs w:val="28"/>
          <w:rtl/>
          <w:lang w:bidi="fa-IR"/>
        </w:rPr>
        <w:t>توان اخذ به اين لازم نموده و حکم به حرّيّت امه نمود.</w:t>
      </w:r>
    </w:p>
    <w:p w14:paraId="4CDC9882" w14:textId="77777777" w:rsidR="00616B2F" w:rsidRDefault="00616B2F" w:rsidP="00616B2F">
      <w:pPr>
        <w:widowControl w:val="0"/>
        <w:bidi/>
        <w:spacing w:after="0" w:line="254" w:lineRule="auto"/>
        <w:ind w:firstLine="284"/>
        <w:jc w:val="both"/>
        <w:rPr>
          <w:rFonts w:cs="Abz-2 (Badr)"/>
          <w:color w:val="000000" w:themeColor="text1"/>
          <w:spacing w:val="-2"/>
          <w:sz w:val="28"/>
          <w:szCs w:val="28"/>
          <w:rtl/>
          <w:lang w:bidi="fa-IR"/>
        </w:rPr>
      </w:pPr>
      <w:r>
        <w:rPr>
          <w:rFonts w:cs="Abz-2 (Badr)" w:hint="cs"/>
          <w:color w:val="000000" w:themeColor="text1"/>
          <w:spacing w:val="-2"/>
          <w:sz w:val="28"/>
          <w:szCs w:val="28"/>
          <w:rtl/>
          <w:lang w:bidi="fa-IR"/>
        </w:rPr>
        <w:t xml:space="preserve">ولی چنانچه کلام مولا نه ظهور در انشاء عتق داشته باشد و نه در اخبار از حرّيّت بلکه زوج با توجه به قرائن از کلام مولا چنين برداشتی بنمايد ـ مشروط بر اين که تدليس در حق مولا صدق کند ـ در اين صورت زوج حق فسخ دارد و دادن مهر به امه بر او لام نيست، چون مهر امه ملک مولاست و با فرض اين که زوج حق رجوع به مولا برای اخذ مهر </w:t>
      </w:r>
      <w:r>
        <w:rPr>
          <w:rFonts w:cs="Abz-2 (Badr)" w:hint="cs"/>
          <w:color w:val="000000" w:themeColor="text1"/>
          <w:spacing w:val="-2"/>
          <w:sz w:val="28"/>
          <w:szCs w:val="28"/>
          <w:rtl/>
          <w:lang w:bidi="fa-IR"/>
        </w:rPr>
        <w:lastRenderedPageBreak/>
        <w:t>را دارد، لازم نيست که چيزی به وی پرداخت کند.</w:t>
      </w:r>
    </w:p>
    <w:p w14:paraId="45D388CB" w14:textId="77777777" w:rsidR="00616B2F" w:rsidRDefault="00616B2F" w:rsidP="00616B2F">
      <w:pPr>
        <w:widowControl w:val="0"/>
        <w:bidi/>
        <w:spacing w:after="0" w:line="254" w:lineRule="auto"/>
        <w:ind w:firstLine="284"/>
        <w:jc w:val="both"/>
        <w:rPr>
          <w:rFonts w:cs="Abz-2 (Badr)"/>
          <w:color w:val="000000" w:themeColor="text1"/>
          <w:spacing w:val="-2"/>
          <w:sz w:val="28"/>
          <w:szCs w:val="28"/>
          <w:rtl/>
          <w:lang w:bidi="fa-IR"/>
        </w:rPr>
      </w:pPr>
      <w:r>
        <w:rPr>
          <w:rFonts w:cs="Abz-2 (Badr)" w:hint="cs"/>
          <w:color w:val="000000" w:themeColor="text1"/>
          <w:spacing w:val="-2"/>
          <w:sz w:val="28"/>
          <w:szCs w:val="28"/>
          <w:rtl/>
          <w:lang w:bidi="fa-IR"/>
        </w:rPr>
        <w:t>و چناچه زوج قبل از اين که علم به تدليس پيدا کند، مهر زوجه را به وی داده باشد و زوجه آن را اتلاف کرده و يا تلف شده باشد و مخارج ديگری ـ مثل نفقه ـ نيز برای وی انجام داده باشد، همان گونه که سابقاً گذشت، با فسخ نکاح می</w:t>
      </w:r>
      <w:r>
        <w:rPr>
          <w:rFonts w:cs="Abz-2 (Badr)"/>
          <w:color w:val="000000" w:themeColor="text1"/>
          <w:spacing w:val="-2"/>
          <w:sz w:val="28"/>
          <w:szCs w:val="28"/>
          <w:rtl/>
          <w:lang w:bidi="fa-IR"/>
        </w:rPr>
        <w:softHyphen/>
      </w:r>
      <w:r>
        <w:rPr>
          <w:rFonts w:cs="Abz-2 (Badr)" w:hint="cs"/>
          <w:color w:val="000000" w:themeColor="text1"/>
          <w:spacing w:val="-2"/>
          <w:sz w:val="28"/>
          <w:szCs w:val="28"/>
          <w:rtl/>
          <w:lang w:bidi="fa-IR"/>
        </w:rPr>
        <w:t>تواند مستند به قاعده غرور به مولا رجوع کرده و آن خسارات را از وی مطالبه نمايد.</w:t>
      </w:r>
    </w:p>
    <w:p w14:paraId="5F33BE38" w14:textId="77777777" w:rsidR="00616B2F" w:rsidRDefault="00616B2F" w:rsidP="00616B2F">
      <w:pPr>
        <w:widowControl w:val="0"/>
        <w:bidi/>
        <w:spacing w:after="0" w:line="254" w:lineRule="auto"/>
        <w:ind w:firstLine="284"/>
        <w:jc w:val="both"/>
        <w:rPr>
          <w:rFonts w:cs="Abz-2 (Badr)"/>
          <w:color w:val="000000" w:themeColor="text1"/>
          <w:spacing w:val="-2"/>
          <w:sz w:val="28"/>
          <w:szCs w:val="28"/>
          <w:rtl/>
          <w:lang w:bidi="fa-IR"/>
        </w:rPr>
      </w:pPr>
      <w:r>
        <w:rPr>
          <w:rFonts w:cs="Abz-2 (Badr)" w:hint="cs"/>
          <w:color w:val="000000" w:themeColor="text1"/>
          <w:spacing w:val="-2"/>
          <w:sz w:val="28"/>
          <w:szCs w:val="28"/>
          <w:rtl/>
          <w:lang w:bidi="fa-IR"/>
        </w:rPr>
        <w:t>البته برخی احتمال ديگری در مسأله داده</w:t>
      </w:r>
      <w:r>
        <w:rPr>
          <w:rFonts w:cs="Abz-2 (Badr)"/>
          <w:color w:val="000000" w:themeColor="text1"/>
          <w:spacing w:val="-2"/>
          <w:sz w:val="28"/>
          <w:szCs w:val="28"/>
          <w:rtl/>
          <w:lang w:bidi="fa-IR"/>
        </w:rPr>
        <w:softHyphen/>
      </w:r>
      <w:r>
        <w:rPr>
          <w:rFonts w:cs="Abz-2 (Badr)" w:hint="cs"/>
          <w:color w:val="000000" w:themeColor="text1"/>
          <w:spacing w:val="-2"/>
          <w:sz w:val="28"/>
          <w:szCs w:val="28"/>
          <w:rtl/>
          <w:lang w:bidi="fa-IR"/>
        </w:rPr>
        <w:t>اند.</w:t>
      </w:r>
    </w:p>
    <w:p w14:paraId="5F154874" w14:textId="77777777" w:rsidR="00616B2F" w:rsidRPr="009B0C6F" w:rsidRDefault="00616B2F" w:rsidP="00616B2F">
      <w:pPr>
        <w:widowControl w:val="0"/>
        <w:bidi/>
        <w:spacing w:after="0" w:line="254" w:lineRule="auto"/>
        <w:ind w:firstLine="284"/>
        <w:jc w:val="both"/>
        <w:rPr>
          <w:rFonts w:cs="Abz-2 (Badr)"/>
          <w:color w:val="000000" w:themeColor="text1"/>
          <w:spacing w:val="-2"/>
          <w:sz w:val="28"/>
          <w:szCs w:val="28"/>
          <w:lang w:bidi="fa-IR"/>
        </w:rPr>
      </w:pPr>
      <w:r>
        <w:rPr>
          <w:rFonts w:cs="Abz-2 (Badr)" w:hint="cs"/>
          <w:color w:val="000000" w:themeColor="text1"/>
          <w:spacing w:val="-2"/>
          <w:sz w:val="28"/>
          <w:szCs w:val="28"/>
          <w:rtl/>
          <w:lang w:bidi="fa-IR"/>
        </w:rPr>
        <w:t>قال السيّد العاملي في نهاية المرام: «</w:t>
      </w:r>
      <w:r w:rsidRPr="009B0C6F">
        <w:rPr>
          <w:rFonts w:cs="Abz-2 (Badr)"/>
          <w:color w:val="000000" w:themeColor="text1"/>
          <w:spacing w:val="-2"/>
          <w:sz w:val="28"/>
          <w:szCs w:val="28"/>
          <w:rtl/>
          <w:lang w:bidi="fa-IR"/>
        </w:rPr>
        <w:t>ولو كان الزوج قد دفع المهر إليها مع تدليس المولى وعدم تلف</w:t>
      </w:r>
      <w:r>
        <w:rPr>
          <w:rFonts w:cs="Abz-2 (Badr)" w:hint="cs"/>
          <w:color w:val="000000" w:themeColor="text1"/>
          <w:spacing w:val="-2"/>
          <w:sz w:val="28"/>
          <w:szCs w:val="28"/>
          <w:rtl/>
          <w:lang w:bidi="fa-IR"/>
        </w:rPr>
        <w:t>ّ</w:t>
      </w:r>
      <w:r w:rsidRPr="009B0C6F">
        <w:rPr>
          <w:rFonts w:cs="Abz-2 (Badr)"/>
          <w:color w:val="000000" w:themeColor="text1"/>
          <w:spacing w:val="-2"/>
          <w:sz w:val="28"/>
          <w:szCs w:val="28"/>
          <w:rtl/>
          <w:lang w:bidi="fa-IR"/>
        </w:rPr>
        <w:t>ظه بما يقتضي العتق</w:t>
      </w:r>
      <w:r>
        <w:rPr>
          <w:rFonts w:cs="Abz-2 (Badr)" w:hint="cs"/>
          <w:color w:val="000000" w:themeColor="text1"/>
          <w:spacing w:val="-2"/>
          <w:sz w:val="28"/>
          <w:szCs w:val="28"/>
          <w:rtl/>
          <w:lang w:bidi="fa-IR"/>
        </w:rPr>
        <w:t>،</w:t>
      </w:r>
      <w:r w:rsidRPr="009B0C6F">
        <w:rPr>
          <w:rFonts w:cs="Abz-2 (Badr)"/>
          <w:color w:val="000000" w:themeColor="text1"/>
          <w:spacing w:val="-2"/>
          <w:sz w:val="28"/>
          <w:szCs w:val="28"/>
          <w:rtl/>
          <w:lang w:bidi="fa-IR"/>
        </w:rPr>
        <w:t xml:space="preserve"> أخذه منها </w:t>
      </w:r>
      <w:r>
        <w:rPr>
          <w:rFonts w:cs="Abz-2 (Badr)" w:hint="cs"/>
          <w:color w:val="000000" w:themeColor="text1"/>
          <w:spacing w:val="-2"/>
          <w:sz w:val="28"/>
          <w:szCs w:val="28"/>
          <w:rtl/>
          <w:lang w:bidi="fa-IR"/>
        </w:rPr>
        <w:t>إ</w:t>
      </w:r>
      <w:r w:rsidRPr="009B0C6F">
        <w:rPr>
          <w:rFonts w:cs="Abz-2 (Badr)"/>
          <w:color w:val="000000" w:themeColor="text1"/>
          <w:spacing w:val="-2"/>
          <w:sz w:val="28"/>
          <w:szCs w:val="28"/>
          <w:rtl/>
          <w:lang w:bidi="fa-IR"/>
        </w:rPr>
        <w:t>ن كانت عينه باقية</w:t>
      </w:r>
      <w:r>
        <w:rPr>
          <w:rFonts w:cs="Abz-2 (Badr)" w:hint="cs"/>
          <w:color w:val="000000" w:themeColor="text1"/>
          <w:spacing w:val="-2"/>
          <w:sz w:val="28"/>
          <w:szCs w:val="28"/>
          <w:rtl/>
          <w:lang w:bidi="fa-IR"/>
        </w:rPr>
        <w:t>،</w:t>
      </w:r>
      <w:r w:rsidRPr="009B0C6F">
        <w:rPr>
          <w:rFonts w:cs="Abz-2 (Badr)"/>
          <w:color w:val="000000" w:themeColor="text1"/>
          <w:spacing w:val="-2"/>
          <w:sz w:val="28"/>
          <w:szCs w:val="28"/>
          <w:rtl/>
          <w:lang w:bidi="fa-IR"/>
        </w:rPr>
        <w:t xml:space="preserve"> و</w:t>
      </w:r>
      <w:r>
        <w:rPr>
          <w:rFonts w:cs="Abz-2 (Badr)" w:hint="cs"/>
          <w:color w:val="000000" w:themeColor="text1"/>
          <w:spacing w:val="-2"/>
          <w:sz w:val="28"/>
          <w:szCs w:val="28"/>
          <w:rtl/>
          <w:lang w:bidi="fa-IR"/>
        </w:rPr>
        <w:t>إ</w:t>
      </w:r>
      <w:r w:rsidRPr="009B0C6F">
        <w:rPr>
          <w:rFonts w:cs="Abz-2 (Badr)"/>
          <w:color w:val="000000" w:themeColor="text1"/>
          <w:spacing w:val="-2"/>
          <w:sz w:val="28"/>
          <w:szCs w:val="28"/>
          <w:rtl/>
          <w:lang w:bidi="fa-IR"/>
        </w:rPr>
        <w:t>ن تلفت في يدها احتمل قويّا</w:t>
      </w:r>
      <w:r>
        <w:rPr>
          <w:rFonts w:cs="Abz-2 (Badr)" w:hint="cs"/>
          <w:color w:val="000000" w:themeColor="text1"/>
          <w:spacing w:val="-2"/>
          <w:sz w:val="28"/>
          <w:szCs w:val="28"/>
          <w:rtl/>
          <w:lang w:bidi="fa-IR"/>
        </w:rPr>
        <w:t>ً</w:t>
      </w:r>
      <w:r w:rsidRPr="009B0C6F">
        <w:rPr>
          <w:rFonts w:cs="Abz-2 (Badr)"/>
          <w:color w:val="000000" w:themeColor="text1"/>
          <w:spacing w:val="-2"/>
          <w:sz w:val="28"/>
          <w:szCs w:val="28"/>
          <w:rtl/>
          <w:lang w:bidi="fa-IR"/>
        </w:rPr>
        <w:t xml:space="preserve"> رجوعه به على المولى</w:t>
      </w:r>
      <w:r>
        <w:rPr>
          <w:rFonts w:cs="Abz-2 (Badr)" w:hint="cs"/>
          <w:color w:val="000000" w:themeColor="text1"/>
          <w:spacing w:val="-2"/>
          <w:sz w:val="28"/>
          <w:szCs w:val="28"/>
          <w:rtl/>
          <w:lang w:bidi="fa-IR"/>
        </w:rPr>
        <w:t>،</w:t>
      </w:r>
      <w:r w:rsidRPr="009B0C6F">
        <w:rPr>
          <w:rFonts w:cs="Abz-2 (Badr)"/>
          <w:color w:val="000000" w:themeColor="text1"/>
          <w:spacing w:val="-2"/>
          <w:sz w:val="28"/>
          <w:szCs w:val="28"/>
          <w:rtl/>
          <w:lang w:bidi="fa-IR"/>
        </w:rPr>
        <w:t xml:space="preserve"> لمكان الغرور</w:t>
      </w:r>
      <w:r>
        <w:rPr>
          <w:rFonts w:cs="Abz-2 (Badr)" w:hint="cs"/>
          <w:color w:val="000000" w:themeColor="text1"/>
          <w:spacing w:val="-2"/>
          <w:sz w:val="28"/>
          <w:szCs w:val="28"/>
          <w:rtl/>
          <w:lang w:bidi="fa-IR"/>
        </w:rPr>
        <w:t>،</w:t>
      </w:r>
      <w:r w:rsidRPr="009B0C6F">
        <w:rPr>
          <w:rFonts w:cs="Abz-2 (Badr)"/>
          <w:color w:val="000000" w:themeColor="text1"/>
          <w:spacing w:val="-2"/>
          <w:sz w:val="28"/>
          <w:szCs w:val="28"/>
          <w:rtl/>
          <w:lang w:bidi="fa-IR"/>
        </w:rPr>
        <w:t xml:space="preserve"> فتضعف المباشرة ويكون السبب أقوى</w:t>
      </w:r>
      <w:r>
        <w:rPr>
          <w:rFonts w:cs="Abz-2 (Badr)" w:hint="cs"/>
          <w:color w:val="000000" w:themeColor="text1"/>
          <w:spacing w:val="-2"/>
          <w:sz w:val="28"/>
          <w:szCs w:val="28"/>
          <w:rtl/>
          <w:lang w:bidi="fa-IR"/>
        </w:rPr>
        <w:t>،</w:t>
      </w:r>
      <w:r w:rsidRPr="009B0C6F">
        <w:rPr>
          <w:rFonts w:cs="Abz-2 (Badr)"/>
          <w:color w:val="000000" w:themeColor="text1"/>
          <w:spacing w:val="-2"/>
          <w:sz w:val="28"/>
          <w:szCs w:val="28"/>
          <w:rtl/>
          <w:lang w:bidi="fa-IR"/>
        </w:rPr>
        <w:t xml:space="preserve"> كما إذا قدّم طعاما</w:t>
      </w:r>
      <w:r>
        <w:rPr>
          <w:rFonts w:cs="Abz-2 (Badr)" w:hint="cs"/>
          <w:color w:val="000000" w:themeColor="text1"/>
          <w:spacing w:val="-2"/>
          <w:sz w:val="28"/>
          <w:szCs w:val="28"/>
          <w:rtl/>
          <w:lang w:bidi="fa-IR"/>
        </w:rPr>
        <w:t>ً</w:t>
      </w:r>
      <w:r w:rsidRPr="009B0C6F">
        <w:rPr>
          <w:rFonts w:cs="Abz-2 (Badr)"/>
          <w:color w:val="000000" w:themeColor="text1"/>
          <w:spacing w:val="-2"/>
          <w:sz w:val="28"/>
          <w:szCs w:val="28"/>
          <w:rtl/>
          <w:lang w:bidi="fa-IR"/>
        </w:rPr>
        <w:t xml:space="preserve"> </w:t>
      </w:r>
      <w:r>
        <w:rPr>
          <w:rFonts w:cs="Abz-2 (Badr)" w:hint="cs"/>
          <w:color w:val="000000" w:themeColor="text1"/>
          <w:spacing w:val="-2"/>
          <w:sz w:val="28"/>
          <w:szCs w:val="28"/>
          <w:rtl/>
          <w:lang w:bidi="fa-IR"/>
        </w:rPr>
        <w:t>إ</w:t>
      </w:r>
      <w:r w:rsidRPr="009B0C6F">
        <w:rPr>
          <w:rFonts w:cs="Abz-2 (Badr)"/>
          <w:color w:val="000000" w:themeColor="text1"/>
          <w:spacing w:val="-2"/>
          <w:sz w:val="28"/>
          <w:szCs w:val="28"/>
          <w:rtl/>
          <w:lang w:bidi="fa-IR"/>
        </w:rPr>
        <w:t xml:space="preserve">لى مالكه فأكله وهو لا يعلم به. </w:t>
      </w:r>
    </w:p>
    <w:p w14:paraId="4E896960" w14:textId="77777777" w:rsidR="00616B2F" w:rsidRDefault="00616B2F" w:rsidP="00616B2F">
      <w:pPr>
        <w:widowControl w:val="0"/>
        <w:bidi/>
        <w:spacing w:after="0" w:line="254" w:lineRule="auto"/>
        <w:ind w:firstLine="284"/>
        <w:jc w:val="both"/>
        <w:rPr>
          <w:rFonts w:cs="Abz-2 (Badr)"/>
          <w:color w:val="000000" w:themeColor="text1"/>
          <w:spacing w:val="-2"/>
          <w:sz w:val="28"/>
          <w:szCs w:val="28"/>
          <w:rtl/>
          <w:lang w:bidi="fa-IR"/>
        </w:rPr>
      </w:pPr>
      <w:r w:rsidRPr="009B0C6F">
        <w:rPr>
          <w:rFonts w:cs="Abz-2 (Badr)"/>
          <w:color w:val="000000" w:themeColor="text1"/>
          <w:spacing w:val="-2"/>
          <w:sz w:val="28"/>
          <w:szCs w:val="28"/>
          <w:rtl/>
          <w:lang w:bidi="fa-IR"/>
        </w:rPr>
        <w:t>ويحتمل ضمانها المهر في كسبها أو تبعيّتها به بعد العتق.</w:t>
      </w:r>
      <w:r>
        <w:rPr>
          <w:rFonts w:cs="Abz-2 (Badr)" w:hint="cs"/>
          <w:color w:val="000000" w:themeColor="text1"/>
          <w:spacing w:val="-2"/>
          <w:sz w:val="28"/>
          <w:szCs w:val="28"/>
          <w:rtl/>
          <w:lang w:bidi="fa-IR"/>
        </w:rPr>
        <w:t>»</w:t>
      </w:r>
      <w:r w:rsidRPr="002D27AB">
        <w:rPr>
          <w:rStyle w:val="FootnoteReference"/>
          <w:rFonts w:cs="Abz-2 (Badr)"/>
          <w:sz w:val="28"/>
          <w:szCs w:val="28"/>
          <w:rtl/>
          <w:lang w:bidi="fa-IR"/>
        </w:rPr>
        <w:footnoteReference w:id="3"/>
      </w:r>
    </w:p>
    <w:p w14:paraId="089C5C8C" w14:textId="77777777" w:rsidR="00616B2F" w:rsidRDefault="00616B2F" w:rsidP="00616B2F">
      <w:pPr>
        <w:widowControl w:val="0"/>
        <w:bidi/>
        <w:spacing w:after="0" w:line="254" w:lineRule="auto"/>
        <w:ind w:firstLine="284"/>
        <w:jc w:val="both"/>
        <w:rPr>
          <w:rFonts w:cs="Abz-2 (Badr)"/>
          <w:color w:val="000000" w:themeColor="text1"/>
          <w:spacing w:val="-2"/>
          <w:sz w:val="28"/>
          <w:szCs w:val="28"/>
          <w:rtl/>
          <w:lang w:bidi="fa-IR"/>
        </w:rPr>
      </w:pPr>
      <w:r>
        <w:rPr>
          <w:rFonts w:cs="Abz-2 (Badr)" w:hint="cs"/>
          <w:color w:val="000000" w:themeColor="text1"/>
          <w:spacing w:val="-2"/>
          <w:sz w:val="28"/>
          <w:szCs w:val="28"/>
          <w:rtl/>
          <w:lang w:bidi="fa-IR"/>
        </w:rPr>
        <w:t>اما اولاً: همان گونه که گذشت ضمان از باب غرور ارتباطی به اقوی بودن سبب از مباشر ندارد.</w:t>
      </w:r>
    </w:p>
    <w:p w14:paraId="71972413" w14:textId="77777777" w:rsidR="00616B2F" w:rsidRDefault="00616B2F" w:rsidP="00616B2F">
      <w:pPr>
        <w:widowControl w:val="0"/>
        <w:bidi/>
        <w:spacing w:after="0" w:line="254" w:lineRule="auto"/>
        <w:ind w:firstLine="284"/>
        <w:jc w:val="both"/>
        <w:rPr>
          <w:rFonts w:cs="Abz-2 (Badr)"/>
          <w:color w:val="000000" w:themeColor="text1"/>
          <w:spacing w:val="-2"/>
          <w:sz w:val="28"/>
          <w:szCs w:val="28"/>
          <w:rtl/>
          <w:lang w:bidi="fa-IR"/>
        </w:rPr>
      </w:pPr>
      <w:r>
        <w:rPr>
          <w:rFonts w:cs="Abz-2 (Badr)" w:hint="cs"/>
          <w:color w:val="000000" w:themeColor="text1"/>
          <w:spacing w:val="-2"/>
          <w:sz w:val="28"/>
          <w:szCs w:val="28"/>
          <w:rtl/>
          <w:lang w:bidi="fa-IR"/>
        </w:rPr>
        <w:t>و ثانياً: در فرضی که مولا مدلّس باشد، وجهی برای رجوع به امه نيست، چون امه مهر را در نکاح صحيح گرفته است و اين مال، مال مولا بوده و تلف آن نيز از مولا محسوب می</w:t>
      </w:r>
      <w:r>
        <w:rPr>
          <w:rFonts w:cs="Abz-2 (Badr)"/>
          <w:color w:val="000000" w:themeColor="text1"/>
          <w:spacing w:val="-2"/>
          <w:sz w:val="28"/>
          <w:szCs w:val="28"/>
          <w:rtl/>
          <w:lang w:bidi="fa-IR"/>
        </w:rPr>
        <w:softHyphen/>
      </w:r>
      <w:r>
        <w:rPr>
          <w:rFonts w:cs="Abz-2 (Badr)" w:hint="cs"/>
          <w:color w:val="000000" w:themeColor="text1"/>
          <w:spacing w:val="-2"/>
          <w:sz w:val="28"/>
          <w:szCs w:val="28"/>
          <w:rtl/>
          <w:lang w:bidi="fa-IR"/>
        </w:rPr>
        <w:t>شود نه از زوج. فلذا جريان قاعده اتلاف يا يد در اين فرض وجهی ندارد.</w:t>
      </w:r>
    </w:p>
    <w:p w14:paraId="4E4FD61A" w14:textId="77777777" w:rsidR="00616B2F" w:rsidRDefault="00616B2F" w:rsidP="00616B2F">
      <w:pPr>
        <w:widowControl w:val="0"/>
        <w:bidi/>
        <w:spacing w:after="0" w:line="254" w:lineRule="auto"/>
        <w:ind w:firstLine="284"/>
        <w:jc w:val="both"/>
        <w:rPr>
          <w:rFonts w:cs="Abz-2 (Badr)"/>
          <w:color w:val="000000" w:themeColor="text1"/>
          <w:spacing w:val="-2"/>
          <w:sz w:val="28"/>
          <w:szCs w:val="28"/>
          <w:rtl/>
          <w:lang w:bidi="fa-IR"/>
        </w:rPr>
      </w:pPr>
      <w:r>
        <w:rPr>
          <w:rFonts w:cs="Abz-2 (Badr)" w:hint="cs"/>
          <w:color w:val="000000" w:themeColor="text1"/>
          <w:spacing w:val="-2"/>
          <w:sz w:val="28"/>
          <w:szCs w:val="28"/>
          <w:rtl/>
          <w:lang w:bidi="fa-IR"/>
        </w:rPr>
        <w:t>و ثالثاً: اين احتمال مخالف با اخباری است که دلالت بر رجوع به مدلّس برای دريافت عوض مهر می</w:t>
      </w:r>
      <w:r>
        <w:rPr>
          <w:rFonts w:cs="Abz-2 (Badr)"/>
          <w:color w:val="000000" w:themeColor="text1"/>
          <w:spacing w:val="-2"/>
          <w:sz w:val="28"/>
          <w:szCs w:val="28"/>
          <w:rtl/>
          <w:lang w:bidi="fa-IR"/>
        </w:rPr>
        <w:softHyphen/>
      </w:r>
      <w:r>
        <w:rPr>
          <w:rFonts w:cs="Abz-2 (Badr)" w:hint="cs"/>
          <w:color w:val="000000" w:themeColor="text1"/>
          <w:spacing w:val="-2"/>
          <w:sz w:val="28"/>
          <w:szCs w:val="28"/>
          <w:rtl/>
          <w:lang w:bidi="fa-IR"/>
        </w:rPr>
        <w:t>کند.</w:t>
      </w:r>
    </w:p>
    <w:p w14:paraId="67D57E2E" w14:textId="77777777" w:rsidR="00616B2F" w:rsidRDefault="00616B2F" w:rsidP="00616B2F">
      <w:pPr>
        <w:widowControl w:val="0"/>
        <w:bidi/>
        <w:spacing w:after="0" w:line="254" w:lineRule="auto"/>
        <w:ind w:firstLine="284"/>
        <w:jc w:val="both"/>
        <w:rPr>
          <w:rFonts w:cs="Abz-2 (Badr)"/>
          <w:color w:val="000000" w:themeColor="text1"/>
          <w:spacing w:val="-2"/>
          <w:sz w:val="28"/>
          <w:szCs w:val="28"/>
          <w:rtl/>
          <w:lang w:bidi="fa-IR"/>
        </w:rPr>
      </w:pPr>
      <w:r>
        <w:rPr>
          <w:rFonts w:cs="Abz-2 (Badr)" w:hint="cs"/>
          <w:color w:val="000000" w:themeColor="text1"/>
          <w:spacing w:val="-2"/>
          <w:sz w:val="28"/>
          <w:szCs w:val="28"/>
          <w:rtl/>
          <w:lang w:bidi="fa-IR"/>
        </w:rPr>
        <w:t>برخی نيز گفته</w:t>
      </w:r>
      <w:r>
        <w:rPr>
          <w:rFonts w:cs="Abz-2 (Badr)"/>
          <w:color w:val="000000" w:themeColor="text1"/>
          <w:spacing w:val="-2"/>
          <w:sz w:val="28"/>
          <w:szCs w:val="28"/>
          <w:rtl/>
          <w:lang w:bidi="fa-IR"/>
        </w:rPr>
        <w:softHyphen/>
      </w:r>
      <w:r>
        <w:rPr>
          <w:rFonts w:cs="Abz-2 (Badr)" w:hint="cs"/>
          <w:color w:val="000000" w:themeColor="text1"/>
          <w:spacing w:val="-2"/>
          <w:sz w:val="28"/>
          <w:szCs w:val="28"/>
          <w:rtl/>
          <w:lang w:bidi="fa-IR"/>
        </w:rPr>
        <w:t>اند که بايد در برابر دخول چيزی پرداخت شود و دخول بدون مهر ممکن نيست.</w:t>
      </w:r>
    </w:p>
    <w:p w14:paraId="0456A9A5" w14:textId="77777777" w:rsidR="00616B2F" w:rsidRDefault="00616B2F" w:rsidP="00616B2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الشيخ في المبسوط: «</w:t>
      </w:r>
      <w:r w:rsidRPr="00B16082">
        <w:rPr>
          <w:rFonts w:cs="Abz-2 (Badr)"/>
          <w:color w:val="000000" w:themeColor="text1"/>
          <w:spacing w:val="-2"/>
          <w:sz w:val="28"/>
          <w:szCs w:val="28"/>
          <w:rtl/>
          <w:lang w:bidi="fa-IR"/>
        </w:rPr>
        <w:t>كل</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 xml:space="preserve"> موضع قلنا يرجع على غيرها</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 xml:space="preserve"> رجع بكل</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 xml:space="preserve"> ما غرم عليه، وكل</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 xml:space="preserve"> موضع قلنا الرجوع عليها فبكم يرجع‌؟ قال قوم</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 xml:space="preserve"> يرجع بكل</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ه إلا القدر الذي يجوز أن يكون مهرا</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 xml:space="preserve"> لئلا يعرى الوط</w:t>
      </w:r>
      <w:r>
        <w:rPr>
          <w:rFonts w:cs="Abz-2 (Badr)" w:hint="cs"/>
          <w:color w:val="000000" w:themeColor="text1"/>
          <w:spacing w:val="-2"/>
          <w:sz w:val="28"/>
          <w:szCs w:val="28"/>
          <w:rtl/>
          <w:lang w:bidi="fa-IR"/>
        </w:rPr>
        <w:t>ء</w:t>
      </w:r>
      <w:r w:rsidRPr="00B16082">
        <w:rPr>
          <w:rFonts w:cs="Abz-2 (Badr)"/>
          <w:color w:val="000000" w:themeColor="text1"/>
          <w:spacing w:val="-2"/>
          <w:sz w:val="28"/>
          <w:szCs w:val="28"/>
          <w:rtl/>
          <w:lang w:bidi="fa-IR"/>
        </w:rPr>
        <w:t xml:space="preserve"> عن البدل</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 xml:space="preserve"> وقال آخرون</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 xml:space="preserve"> يرجع عليها بكل</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ه</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 xml:space="preserve"> والأو</w:t>
      </w:r>
      <w:r>
        <w:rPr>
          <w:rFonts w:cs="Abz-2 (Badr)" w:hint="cs"/>
          <w:color w:val="000000" w:themeColor="text1"/>
          <w:spacing w:val="-2"/>
          <w:sz w:val="28"/>
          <w:szCs w:val="28"/>
          <w:rtl/>
          <w:lang w:bidi="fa-IR"/>
        </w:rPr>
        <w:t>ّ</w:t>
      </w:r>
      <w:r w:rsidRPr="00B16082">
        <w:rPr>
          <w:rFonts w:cs="Abz-2 (Badr)"/>
          <w:color w:val="000000" w:themeColor="text1"/>
          <w:spacing w:val="-2"/>
          <w:sz w:val="28"/>
          <w:szCs w:val="28"/>
          <w:rtl/>
          <w:lang w:bidi="fa-IR"/>
        </w:rPr>
        <w:t>ل أقوى.</w:t>
      </w:r>
      <w:r>
        <w:rPr>
          <w:rFonts w:cs="Abz-2 (Badr)" w:hint="cs"/>
          <w:color w:val="000000" w:themeColor="text1"/>
          <w:spacing w:val="-2"/>
          <w:sz w:val="28"/>
          <w:szCs w:val="28"/>
          <w:rtl/>
          <w:lang w:bidi="fa-IR"/>
        </w:rPr>
        <w:t>»</w:t>
      </w:r>
      <w:r w:rsidRPr="002D27AB">
        <w:rPr>
          <w:rStyle w:val="FootnoteReference"/>
          <w:rFonts w:cs="Abz-2 (Badr)"/>
          <w:sz w:val="28"/>
          <w:szCs w:val="28"/>
          <w:rtl/>
          <w:lang w:bidi="fa-IR"/>
        </w:rPr>
        <w:footnoteReference w:id="4"/>
      </w:r>
    </w:p>
    <w:p w14:paraId="0BB6C6E2" w14:textId="77777777" w:rsidR="00616B2F" w:rsidRPr="00B16082" w:rsidRDefault="00616B2F" w:rsidP="00616B2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وقال العلامة في المختلف: «</w:t>
      </w:r>
      <w:r w:rsidRPr="00B16082">
        <w:rPr>
          <w:rFonts w:cs="Abz-2 (Badr)"/>
          <w:color w:val="000000" w:themeColor="text1"/>
          <w:sz w:val="28"/>
          <w:szCs w:val="28"/>
          <w:rtl/>
          <w:lang w:bidi="fa-IR"/>
        </w:rPr>
        <w:t>إذا كانت هي المدلّسة بعد الدخول وتسليم المهر،</w:t>
      </w:r>
      <w:r>
        <w:rPr>
          <w:rFonts w:cs="Abz-2 (Badr)" w:hint="cs"/>
          <w:color w:val="000000" w:themeColor="text1"/>
          <w:sz w:val="28"/>
          <w:szCs w:val="28"/>
          <w:rtl/>
          <w:lang w:bidi="fa-IR"/>
        </w:rPr>
        <w:t xml:space="preserve"> </w:t>
      </w:r>
      <w:r w:rsidRPr="00B16082">
        <w:rPr>
          <w:rFonts w:cs="Abz-2 (Badr)"/>
          <w:color w:val="000000" w:themeColor="text1"/>
          <w:sz w:val="28"/>
          <w:szCs w:val="28"/>
          <w:rtl/>
          <w:lang w:bidi="fa-IR"/>
        </w:rPr>
        <w:t>فالمشهور أنّه يرجع الزوج عليها بما دفعه، وإن كان الوليّ‌ هو المدلّس، رجع الزوج عليه وكان لها المهر كملا</w:t>
      </w:r>
      <w:r>
        <w:rPr>
          <w:rFonts w:cs="Abz-2 (Badr)" w:hint="cs"/>
          <w:color w:val="000000" w:themeColor="text1"/>
          <w:sz w:val="28"/>
          <w:szCs w:val="28"/>
          <w:rtl/>
          <w:lang w:bidi="fa-IR"/>
        </w:rPr>
        <w:t>ً</w:t>
      </w:r>
      <w:r w:rsidRPr="00B16082">
        <w:rPr>
          <w:rFonts w:cs="Abz-2 (Badr)"/>
          <w:color w:val="000000" w:themeColor="text1"/>
          <w:sz w:val="28"/>
          <w:szCs w:val="28"/>
          <w:rtl/>
          <w:lang w:bidi="fa-IR"/>
        </w:rPr>
        <w:t xml:space="preserve">. </w:t>
      </w:r>
    </w:p>
    <w:p w14:paraId="7DF87875" w14:textId="77777777" w:rsidR="00616B2F" w:rsidRPr="00B16082" w:rsidRDefault="00616B2F" w:rsidP="00616B2F">
      <w:pPr>
        <w:widowControl w:val="0"/>
        <w:bidi/>
        <w:spacing w:after="0" w:line="262" w:lineRule="auto"/>
        <w:ind w:firstLine="284"/>
        <w:jc w:val="both"/>
        <w:rPr>
          <w:rFonts w:cs="Abz-2 (Badr)"/>
          <w:color w:val="000000" w:themeColor="text1"/>
          <w:sz w:val="28"/>
          <w:szCs w:val="28"/>
          <w:rtl/>
          <w:lang w:bidi="fa-IR"/>
        </w:rPr>
      </w:pPr>
      <w:r w:rsidRPr="00B16082">
        <w:rPr>
          <w:rFonts w:cs="Abz-2 (Badr)"/>
          <w:color w:val="000000" w:themeColor="text1"/>
          <w:sz w:val="28"/>
          <w:szCs w:val="28"/>
          <w:rtl/>
          <w:lang w:bidi="fa-IR"/>
        </w:rPr>
        <w:t>وقال ابن الجنيد: وإن حكم له بالفسخ لأجل العيب وهو به، رجع على الوليّ‌ إلا قدر أقلّ‌ مهر مثلها، إلا أن يكون مم</w:t>
      </w:r>
      <w:r>
        <w:rPr>
          <w:rFonts w:cs="Abz-2 (Badr)" w:hint="cs"/>
          <w:color w:val="000000" w:themeColor="text1"/>
          <w:sz w:val="28"/>
          <w:szCs w:val="28"/>
          <w:rtl/>
          <w:lang w:bidi="fa-IR"/>
        </w:rPr>
        <w:t>ّ</w:t>
      </w:r>
      <w:r w:rsidRPr="00B16082">
        <w:rPr>
          <w:rFonts w:cs="Abz-2 (Badr)"/>
          <w:color w:val="000000" w:themeColor="text1"/>
          <w:sz w:val="28"/>
          <w:szCs w:val="28"/>
          <w:rtl/>
          <w:lang w:bidi="fa-IR"/>
        </w:rPr>
        <w:t>ا لا يظهر وقد خفي على الوليّ‌، فيكون لها أقل</w:t>
      </w:r>
      <w:r>
        <w:rPr>
          <w:rFonts w:cs="Abz-2 (Badr)" w:hint="cs"/>
          <w:color w:val="000000" w:themeColor="text1"/>
          <w:sz w:val="28"/>
          <w:szCs w:val="28"/>
          <w:rtl/>
          <w:lang w:bidi="fa-IR"/>
        </w:rPr>
        <w:t>ّ</w:t>
      </w:r>
      <w:r w:rsidRPr="00B16082">
        <w:rPr>
          <w:rFonts w:cs="Abz-2 (Badr)"/>
          <w:color w:val="000000" w:themeColor="text1"/>
          <w:sz w:val="28"/>
          <w:szCs w:val="28"/>
          <w:rtl/>
          <w:lang w:bidi="fa-IR"/>
        </w:rPr>
        <w:t xml:space="preserve"> صداق مثلها، والباقي مردود من مالها على زوجها، وحكمها حكم ولي</w:t>
      </w:r>
      <w:r>
        <w:rPr>
          <w:rFonts w:cs="Abz-2 (Badr)" w:hint="cs"/>
          <w:color w:val="000000" w:themeColor="text1"/>
          <w:sz w:val="28"/>
          <w:szCs w:val="28"/>
          <w:rtl/>
          <w:lang w:bidi="fa-IR"/>
        </w:rPr>
        <w:t>ّ</w:t>
      </w:r>
      <w:r w:rsidRPr="00B16082">
        <w:rPr>
          <w:rFonts w:cs="Abz-2 (Badr)"/>
          <w:color w:val="000000" w:themeColor="text1"/>
          <w:sz w:val="28"/>
          <w:szCs w:val="28"/>
          <w:rtl/>
          <w:lang w:bidi="fa-IR"/>
        </w:rPr>
        <w:t xml:space="preserve">ها إن كانت هي العاقدة على نفسها. </w:t>
      </w:r>
    </w:p>
    <w:p w14:paraId="40320EB9" w14:textId="77777777" w:rsidR="00616B2F" w:rsidRPr="00B16082" w:rsidRDefault="00616B2F" w:rsidP="00616B2F">
      <w:pPr>
        <w:widowControl w:val="0"/>
        <w:bidi/>
        <w:spacing w:after="0" w:line="262" w:lineRule="auto"/>
        <w:ind w:firstLine="284"/>
        <w:jc w:val="both"/>
        <w:rPr>
          <w:rFonts w:ascii="Noor_Nazli" w:eastAsia="Times New Roman" w:hAnsi="Noor_Nazli" w:cs="Times New Roman"/>
          <w:sz w:val="36"/>
          <w:szCs w:val="36"/>
          <w:rtl/>
          <w:lang w:bidi="fa-IR"/>
        </w:rPr>
      </w:pPr>
      <w:r w:rsidRPr="00B16082">
        <w:rPr>
          <w:rFonts w:cs="Abz-2 (Badr)"/>
          <w:color w:val="000000" w:themeColor="text1"/>
          <w:sz w:val="28"/>
          <w:szCs w:val="28"/>
          <w:rtl/>
          <w:lang w:bidi="fa-IR"/>
        </w:rPr>
        <w:t>والوجه عندي: أنّه يرجع عليها بما دفعه إلا بأقلّ‌ ما يكون مهرا</w:t>
      </w:r>
      <w:r>
        <w:rPr>
          <w:rFonts w:cs="Abz-2 (Badr)" w:hint="cs"/>
          <w:color w:val="000000" w:themeColor="text1"/>
          <w:sz w:val="28"/>
          <w:szCs w:val="28"/>
          <w:rtl/>
          <w:lang w:bidi="fa-IR"/>
        </w:rPr>
        <w:t>ً</w:t>
      </w:r>
      <w:r w:rsidRPr="00B16082">
        <w:rPr>
          <w:rFonts w:cs="Abz-2 (Badr)"/>
          <w:color w:val="000000" w:themeColor="text1"/>
          <w:sz w:val="28"/>
          <w:szCs w:val="28"/>
          <w:rtl/>
          <w:lang w:bidi="fa-IR"/>
        </w:rPr>
        <w:t xml:space="preserve">، لئلا يخلو البضع عن عوض، وهو الذي قوّاه الشيخ في </w:t>
      </w:r>
      <w:r w:rsidRPr="00B16082">
        <w:rPr>
          <w:rFonts w:cs="Abz-2 (Badr)"/>
          <w:color w:val="000000" w:themeColor="text1"/>
          <w:sz w:val="28"/>
          <w:szCs w:val="28"/>
          <w:rtl/>
          <w:lang w:bidi="fa-IR"/>
        </w:rPr>
        <w:lastRenderedPageBreak/>
        <w:t>المبسوط أيضا.</w:t>
      </w:r>
      <w:r>
        <w:rPr>
          <w:rFonts w:cs="Abz-2 (Badr)" w:hint="cs"/>
          <w:color w:val="000000" w:themeColor="text1"/>
          <w:sz w:val="28"/>
          <w:szCs w:val="28"/>
          <w:rtl/>
          <w:lang w:bidi="fa-IR"/>
        </w:rPr>
        <w:t>»</w:t>
      </w:r>
      <w:r w:rsidRPr="00B16082">
        <w:rPr>
          <w:rStyle w:val="FootnoteReference"/>
          <w:rFonts w:cs="Abz-2 (Badr)"/>
          <w:sz w:val="28"/>
          <w:szCs w:val="28"/>
          <w:rtl/>
          <w:lang w:bidi="fa-IR"/>
        </w:rPr>
        <w:footnoteReference w:id="5"/>
      </w:r>
    </w:p>
    <w:p w14:paraId="1D3EA871" w14:textId="25014FF6" w:rsidR="00451E5F" w:rsidRPr="00054C3B" w:rsidRDefault="00451E5F" w:rsidP="00616B2F">
      <w:pPr>
        <w:widowControl w:val="0"/>
        <w:bidi/>
        <w:spacing w:after="0" w:line="254" w:lineRule="auto"/>
        <w:ind w:firstLine="284"/>
        <w:jc w:val="both"/>
        <w:rPr>
          <w:rFonts w:cs="Abz-2 (Badr)"/>
          <w:color w:val="000000" w:themeColor="text1"/>
          <w:sz w:val="28"/>
          <w:szCs w:val="28"/>
          <w:lang w:bidi="fa-IR"/>
        </w:rPr>
      </w:pPr>
    </w:p>
    <w:bookmarkEnd w:id="0"/>
    <w:bookmarkEnd w:id="1"/>
    <w:sectPr w:rsidR="00451E5F" w:rsidRPr="00054C3B">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5B6BB08A" w14:textId="77777777" w:rsidR="00616B2F" w:rsidRPr="002D27AB" w:rsidRDefault="00616B2F" w:rsidP="00616B2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مبسوط،ج4،ص254.</w:t>
      </w:r>
    </w:p>
  </w:footnote>
  <w:footnote w:id="2">
    <w:p w14:paraId="4D607619" w14:textId="77777777" w:rsidR="00616B2F" w:rsidRPr="002D27AB" w:rsidRDefault="00616B2F" w:rsidP="00616B2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مسالك،ج8،ص142.</w:t>
      </w:r>
    </w:p>
  </w:footnote>
  <w:footnote w:id="3">
    <w:p w14:paraId="089F805E" w14:textId="77777777" w:rsidR="00616B2F" w:rsidRPr="002D27AB" w:rsidRDefault="00616B2F" w:rsidP="00616B2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نهاية المرام،ج1،ص353.</w:t>
      </w:r>
    </w:p>
  </w:footnote>
  <w:footnote w:id="4">
    <w:p w14:paraId="6A0C3D1C" w14:textId="77777777" w:rsidR="00616B2F" w:rsidRPr="002D27AB" w:rsidRDefault="00616B2F" w:rsidP="00616B2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مبسوط،ج4،ص252.</w:t>
      </w:r>
    </w:p>
  </w:footnote>
  <w:footnote w:id="5">
    <w:p w14:paraId="72914664" w14:textId="77777777" w:rsidR="00616B2F" w:rsidRPr="00B16082" w:rsidRDefault="00616B2F" w:rsidP="00616B2F">
      <w:pPr>
        <w:pStyle w:val="FootnoteText"/>
        <w:bidi/>
        <w:rPr>
          <w:rFonts w:cs="Abz-2 (Badr)"/>
          <w:sz w:val="22"/>
          <w:szCs w:val="22"/>
          <w:rtl/>
        </w:rPr>
      </w:pPr>
      <w:r w:rsidRPr="00B16082">
        <w:rPr>
          <w:rFonts w:cs="Abz-2 (Badr)"/>
          <w:sz w:val="22"/>
          <w:szCs w:val="22"/>
        </w:rPr>
        <w:footnoteRef/>
      </w:r>
      <w:r w:rsidRPr="00B16082">
        <w:rPr>
          <w:rFonts w:cs="Abz-2 (Badr)"/>
          <w:sz w:val="22"/>
          <w:szCs w:val="22"/>
          <w:rtl/>
        </w:rPr>
        <w:t> </w:t>
      </w:r>
      <w:r>
        <w:rPr>
          <w:rFonts w:cs="Abz-2 (Badr)" w:hint="cs"/>
          <w:sz w:val="22"/>
          <w:szCs w:val="22"/>
          <w:rtl/>
        </w:rPr>
        <w:t>ـ مختلف،ج7،ص215 و 216.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4C3B"/>
    <w:rsid w:val="000577BF"/>
    <w:rsid w:val="0007062A"/>
    <w:rsid w:val="00084447"/>
    <w:rsid w:val="000879BF"/>
    <w:rsid w:val="0009649A"/>
    <w:rsid w:val="000B64A7"/>
    <w:rsid w:val="000C4957"/>
    <w:rsid w:val="000D0B46"/>
    <w:rsid w:val="000E1CDA"/>
    <w:rsid w:val="000E2156"/>
    <w:rsid w:val="000F2E50"/>
    <w:rsid w:val="00101B80"/>
    <w:rsid w:val="001050A2"/>
    <w:rsid w:val="001149FA"/>
    <w:rsid w:val="001420FB"/>
    <w:rsid w:val="00145844"/>
    <w:rsid w:val="00150806"/>
    <w:rsid w:val="0015228E"/>
    <w:rsid w:val="001922E4"/>
    <w:rsid w:val="001B2ADB"/>
    <w:rsid w:val="001C3107"/>
    <w:rsid w:val="001D1305"/>
    <w:rsid w:val="001D4A4D"/>
    <w:rsid w:val="002133D5"/>
    <w:rsid w:val="0021414D"/>
    <w:rsid w:val="002829CF"/>
    <w:rsid w:val="00295DC1"/>
    <w:rsid w:val="0029688A"/>
    <w:rsid w:val="002A09CF"/>
    <w:rsid w:val="002A6FA3"/>
    <w:rsid w:val="002C7D85"/>
    <w:rsid w:val="002D27AB"/>
    <w:rsid w:val="002E0246"/>
    <w:rsid w:val="00324BF0"/>
    <w:rsid w:val="00330590"/>
    <w:rsid w:val="00331A5F"/>
    <w:rsid w:val="00335969"/>
    <w:rsid w:val="003361EF"/>
    <w:rsid w:val="003A1222"/>
    <w:rsid w:val="003A199D"/>
    <w:rsid w:val="003C6DBC"/>
    <w:rsid w:val="003E2132"/>
    <w:rsid w:val="003F4526"/>
    <w:rsid w:val="00451E5F"/>
    <w:rsid w:val="00487869"/>
    <w:rsid w:val="004B5767"/>
    <w:rsid w:val="004F446D"/>
    <w:rsid w:val="00521235"/>
    <w:rsid w:val="005327C7"/>
    <w:rsid w:val="005532E0"/>
    <w:rsid w:val="005751F1"/>
    <w:rsid w:val="005B6905"/>
    <w:rsid w:val="0060689C"/>
    <w:rsid w:val="00616B2F"/>
    <w:rsid w:val="00621F9A"/>
    <w:rsid w:val="00625979"/>
    <w:rsid w:val="00690AFD"/>
    <w:rsid w:val="006A4420"/>
    <w:rsid w:val="006B2F35"/>
    <w:rsid w:val="006C580F"/>
    <w:rsid w:val="006F1A47"/>
    <w:rsid w:val="0070259D"/>
    <w:rsid w:val="00703021"/>
    <w:rsid w:val="00706DD2"/>
    <w:rsid w:val="00731C05"/>
    <w:rsid w:val="007374CF"/>
    <w:rsid w:val="00750FB1"/>
    <w:rsid w:val="00761208"/>
    <w:rsid w:val="007B47B9"/>
    <w:rsid w:val="00814C68"/>
    <w:rsid w:val="00875CD7"/>
    <w:rsid w:val="008869B4"/>
    <w:rsid w:val="008A2AD3"/>
    <w:rsid w:val="008C3DDD"/>
    <w:rsid w:val="008D1155"/>
    <w:rsid w:val="008D55B7"/>
    <w:rsid w:val="008F3842"/>
    <w:rsid w:val="00901208"/>
    <w:rsid w:val="00920965"/>
    <w:rsid w:val="009251BE"/>
    <w:rsid w:val="00934ECC"/>
    <w:rsid w:val="009364C3"/>
    <w:rsid w:val="00940232"/>
    <w:rsid w:val="00940DC9"/>
    <w:rsid w:val="00943CA6"/>
    <w:rsid w:val="00952433"/>
    <w:rsid w:val="00976371"/>
    <w:rsid w:val="009A3CA7"/>
    <w:rsid w:val="009B0C6F"/>
    <w:rsid w:val="009C1C9D"/>
    <w:rsid w:val="009D42F6"/>
    <w:rsid w:val="009E2B08"/>
    <w:rsid w:val="00A1285F"/>
    <w:rsid w:val="00A17467"/>
    <w:rsid w:val="00A17781"/>
    <w:rsid w:val="00A62A68"/>
    <w:rsid w:val="00A75FB0"/>
    <w:rsid w:val="00A840BC"/>
    <w:rsid w:val="00A96A24"/>
    <w:rsid w:val="00AB148E"/>
    <w:rsid w:val="00B33F90"/>
    <w:rsid w:val="00B651F0"/>
    <w:rsid w:val="00B74659"/>
    <w:rsid w:val="00BB28BF"/>
    <w:rsid w:val="00BD6EF3"/>
    <w:rsid w:val="00BE6672"/>
    <w:rsid w:val="00BF5AD9"/>
    <w:rsid w:val="00C004FA"/>
    <w:rsid w:val="00C01832"/>
    <w:rsid w:val="00C05C27"/>
    <w:rsid w:val="00C1047A"/>
    <w:rsid w:val="00C129A8"/>
    <w:rsid w:val="00C23C75"/>
    <w:rsid w:val="00C6529A"/>
    <w:rsid w:val="00C8378C"/>
    <w:rsid w:val="00C9359C"/>
    <w:rsid w:val="00C9572F"/>
    <w:rsid w:val="00CA0BC4"/>
    <w:rsid w:val="00CC241E"/>
    <w:rsid w:val="00CC2540"/>
    <w:rsid w:val="00CD08A2"/>
    <w:rsid w:val="00CD52E6"/>
    <w:rsid w:val="00D20C84"/>
    <w:rsid w:val="00D22A70"/>
    <w:rsid w:val="00D663C8"/>
    <w:rsid w:val="00D81BE3"/>
    <w:rsid w:val="00D94EC6"/>
    <w:rsid w:val="00D97411"/>
    <w:rsid w:val="00DC37E2"/>
    <w:rsid w:val="00E01FDF"/>
    <w:rsid w:val="00E214D7"/>
    <w:rsid w:val="00E2487C"/>
    <w:rsid w:val="00E55342"/>
    <w:rsid w:val="00E6533A"/>
    <w:rsid w:val="00E749D3"/>
    <w:rsid w:val="00E77A81"/>
    <w:rsid w:val="00ED3BC0"/>
    <w:rsid w:val="00ED7F5C"/>
    <w:rsid w:val="00EE25C0"/>
    <w:rsid w:val="00F03C99"/>
    <w:rsid w:val="00F46AE2"/>
    <w:rsid w:val="00F46E3E"/>
    <w:rsid w:val="00F5720C"/>
    <w:rsid w:val="00F654C8"/>
    <w:rsid w:val="00F71127"/>
    <w:rsid w:val="00FC64C4"/>
    <w:rsid w:val="00FE120F"/>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2</cp:revision>
  <cp:lastPrinted>2022-10-31T08:10:00Z</cp:lastPrinted>
  <dcterms:created xsi:type="dcterms:W3CDTF">2022-10-31T10:36:00Z</dcterms:created>
  <dcterms:modified xsi:type="dcterms:W3CDTF">2022-10-31T10:36:00Z</dcterms:modified>
</cp:coreProperties>
</file>