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901208">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185207C3"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50</w:t>
      </w:r>
      <w:r w:rsidR="00451E5F">
        <w:rPr>
          <w:rFonts w:cs="B Mitra" w:hint="cs"/>
          <w:b/>
          <w:bCs/>
          <w:sz w:val="32"/>
          <w:szCs w:val="32"/>
          <w:rtl/>
          <w:lang w:bidi="fa-IR"/>
        </w:rPr>
        <w:t>6</w:t>
      </w:r>
    </w:p>
    <w:p w14:paraId="0DC220B4" w14:textId="77777777" w:rsidR="00451E5F" w:rsidRDefault="00451E5F" w:rsidP="00451E5F">
      <w:pPr>
        <w:widowControl w:val="0"/>
        <w:bidi/>
        <w:spacing w:after="0" w:line="254" w:lineRule="auto"/>
        <w:ind w:firstLine="284"/>
        <w:jc w:val="both"/>
        <w:rPr>
          <w:rFonts w:cs="Abz-2 (Badr)"/>
          <w:color w:val="000000" w:themeColor="text1"/>
          <w:sz w:val="28"/>
          <w:szCs w:val="28"/>
          <w:rtl/>
          <w:lang w:bidi="fa-IR"/>
        </w:rPr>
      </w:pPr>
      <w:bookmarkStart w:id="0" w:name="_Hlk117452648"/>
      <w:bookmarkStart w:id="1" w:name="_Hlk117414211"/>
      <w:r>
        <w:rPr>
          <w:rFonts w:cs="Abz-2 (Badr)" w:hint="cs"/>
          <w:color w:val="000000" w:themeColor="text1"/>
          <w:sz w:val="28"/>
          <w:szCs w:val="28"/>
          <w:rtl/>
          <w:lang w:bidi="fa-IR"/>
        </w:rPr>
        <w:t>اگر زوج تا پايان حيات خود علم به غرور پيدا نکرد و بعد از مرگ او معلوم شد که تدليسی در نکاح رخ داده و يا نکاح به جهت غرور واقع شده است، آيا ورثه او حق دارند که مهر و باقی خسارات ـ از جمله ارثی که زوجه از زوج می</w:t>
      </w:r>
      <w:r>
        <w:rPr>
          <w:rFonts w:cs="Abz-2 (Badr)"/>
          <w:color w:val="000000" w:themeColor="text1"/>
          <w:sz w:val="28"/>
          <w:szCs w:val="28"/>
          <w:rtl/>
          <w:lang w:bidi="fa-IR"/>
        </w:rPr>
        <w:softHyphen/>
      </w:r>
      <w:r>
        <w:rPr>
          <w:rFonts w:cs="Abz-2 (Badr)" w:hint="cs"/>
          <w:color w:val="000000" w:themeColor="text1"/>
          <w:sz w:val="28"/>
          <w:szCs w:val="28"/>
          <w:rtl/>
          <w:lang w:bidi="fa-IR"/>
        </w:rPr>
        <w:t>برد ـ را از غار مطالبه کنند يا خير؟</w:t>
      </w:r>
    </w:p>
    <w:p w14:paraId="6B6D5F39" w14:textId="77777777" w:rsidR="00451E5F" w:rsidRDefault="00451E5F" w:rsidP="00451E5F">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همان گونه که گذشت، آنچه که قاعده غرور به آن دلالت دارد، رجوع مغرور به غار است و چنانچه مغرور به هر جهتی به غار رجوع نکرد، دليلی برای اين که فرد ديگری بتواند به او رجوع کند وجود ندارد.</w:t>
      </w:r>
    </w:p>
    <w:p w14:paraId="5DEAFE23" w14:textId="7483E4A7" w:rsidR="00451E5F" w:rsidRDefault="00451E5F" w:rsidP="00451E5F">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به عبارت ديگر قاعده غرور به مانند قاعده اتلاف سبب نمی</w:t>
      </w:r>
      <w:r>
        <w:rPr>
          <w:rFonts w:cs="Abz-2 (Badr)"/>
          <w:color w:val="000000" w:themeColor="text1"/>
          <w:sz w:val="28"/>
          <w:szCs w:val="28"/>
          <w:rtl/>
          <w:lang w:bidi="fa-IR"/>
        </w:rPr>
        <w:softHyphen/>
      </w:r>
      <w:r>
        <w:rPr>
          <w:rFonts w:cs="Abz-2 (Badr)" w:hint="cs"/>
          <w:color w:val="000000" w:themeColor="text1"/>
          <w:sz w:val="28"/>
          <w:szCs w:val="28"/>
          <w:rtl/>
          <w:lang w:bidi="fa-IR"/>
        </w:rPr>
        <w:t>شود که ذمه مضمون عليه ولو بدون رجوع مضمون له به او، مشغول گردد تا اين که گفته شود: حتی اگر مغرور به غار به جهت جهل رجوع نکرد، بر غار واجب است که با پرداخت خسارت به وی ذمه خود را بریء سازد و در نتيجه بعد از مرگ وی نيز بايد به ورثه آن خسارات را بپردازد، بلکه حداکثر چيزی که قاعده غرور به آن دلالت دارد اين است که اگر مغرور به غار رجوع کرد، پرداخت خسارت از آن پس بر غار واجب خواهد بود و اين مطلب قدر متيقّن از قاعده غرور بنا بر اين است که مستند آن را بناء عقلاء بدانيم. بلکه دلالت اخبار نيز بيش از اين مقدار نيست و در اخبار دليلی برای اين که به مجرد غرور، ذمه غار به مغرور مشغول گردد وجود ندارد.</w:t>
      </w:r>
    </w:p>
    <w:p w14:paraId="02E7D987" w14:textId="7E6F1910" w:rsidR="00F03C99" w:rsidRDefault="00F03C99" w:rsidP="00F03C99">
      <w:pPr>
        <w:widowControl w:val="0"/>
        <w:bidi/>
        <w:spacing w:after="0" w:line="254" w:lineRule="auto"/>
        <w:ind w:firstLine="284"/>
        <w:jc w:val="both"/>
        <w:rPr>
          <w:rFonts w:cs="Abz-2 (Badr)"/>
          <w:color w:val="000000" w:themeColor="text1"/>
          <w:sz w:val="28"/>
          <w:szCs w:val="28"/>
          <w:rtl/>
          <w:lang w:bidi="fa-IR"/>
        </w:rPr>
      </w:pPr>
      <w:bookmarkStart w:id="2" w:name="_Hlk118018747"/>
      <w:r>
        <w:rPr>
          <w:rFonts w:cs="Abz-2 (Badr)" w:hint="cs"/>
          <w:color w:val="000000" w:themeColor="text1"/>
          <w:sz w:val="28"/>
          <w:szCs w:val="28"/>
          <w:rtl/>
          <w:lang w:bidi="fa-IR"/>
        </w:rPr>
        <w:t>گفته نشود: اگر ذمه غار به مجرد خسارت ناشی از غرور مشغول به مغرور نشده باشد، وجهی برای جواز رجوع مغرور به غار وجود ندارد، چون رجوع برای طلب افراغ ذمه با جبران خسارت است.</w:t>
      </w:r>
    </w:p>
    <w:p w14:paraId="1409E0DB" w14:textId="6B1D9879" w:rsidR="00F03C99" w:rsidRDefault="00F03C99" w:rsidP="00F03C99">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زيرا پاسخ اين است که آنچه که مجوّز رجوع است، استناد عرفی خسارت وارده به مغرور به غار است نه اشتغال ذمه غار به مجرد </w:t>
      </w:r>
      <w:r w:rsidR="003F4526">
        <w:rPr>
          <w:rFonts w:cs="Abz-2 (Badr)" w:hint="cs"/>
          <w:color w:val="000000" w:themeColor="text1"/>
          <w:sz w:val="28"/>
          <w:szCs w:val="28"/>
          <w:rtl/>
          <w:lang w:bidi="fa-IR"/>
        </w:rPr>
        <w:t>چنين خسارتی</w:t>
      </w:r>
      <w:r>
        <w:rPr>
          <w:rFonts w:cs="Abz-2 (Badr)" w:hint="cs"/>
          <w:color w:val="000000" w:themeColor="text1"/>
          <w:sz w:val="28"/>
          <w:szCs w:val="28"/>
          <w:rtl/>
          <w:lang w:bidi="fa-IR"/>
        </w:rPr>
        <w:t xml:space="preserve">. به عبارت ديگر بين جواز تکليفی رجوع به غار از حيث استناد خسارت وارده به مغرور </w:t>
      </w:r>
      <w:r w:rsidR="003F4526">
        <w:rPr>
          <w:rFonts w:cs="Abz-2 (Badr)" w:hint="cs"/>
          <w:color w:val="000000" w:themeColor="text1"/>
          <w:sz w:val="28"/>
          <w:szCs w:val="28"/>
          <w:rtl/>
          <w:lang w:bidi="fa-IR"/>
        </w:rPr>
        <w:t xml:space="preserve">به او </w:t>
      </w:r>
      <w:r>
        <w:rPr>
          <w:rFonts w:cs="Abz-2 (Badr)" w:hint="cs"/>
          <w:color w:val="000000" w:themeColor="text1"/>
          <w:sz w:val="28"/>
          <w:szCs w:val="28"/>
          <w:rtl/>
          <w:lang w:bidi="fa-IR"/>
        </w:rPr>
        <w:t>و اشتغال ذمه غار به مغرور به مجرد توجه خسارت به مغرور که حکمی وضعی است، ملاز</w:t>
      </w:r>
      <w:r w:rsidR="003F4526">
        <w:rPr>
          <w:rFonts w:cs="Abz-2 (Badr)" w:hint="cs"/>
          <w:color w:val="000000" w:themeColor="text1"/>
          <w:sz w:val="28"/>
          <w:szCs w:val="28"/>
          <w:rtl/>
          <w:lang w:bidi="fa-IR"/>
        </w:rPr>
        <w:t>م</w:t>
      </w:r>
      <w:r>
        <w:rPr>
          <w:rFonts w:cs="Abz-2 (Badr)" w:hint="cs"/>
          <w:color w:val="000000" w:themeColor="text1"/>
          <w:sz w:val="28"/>
          <w:szCs w:val="28"/>
          <w:rtl/>
          <w:lang w:bidi="fa-IR"/>
        </w:rPr>
        <w:t>ه</w:t>
      </w:r>
      <w:r>
        <w:rPr>
          <w:rFonts w:cs="Abz-2 (Badr)"/>
          <w:color w:val="000000" w:themeColor="text1"/>
          <w:sz w:val="28"/>
          <w:szCs w:val="28"/>
          <w:rtl/>
          <w:lang w:bidi="fa-IR"/>
        </w:rPr>
        <w:softHyphen/>
      </w:r>
      <w:r>
        <w:rPr>
          <w:rFonts w:cs="Abz-2 (Badr)" w:hint="cs"/>
          <w:color w:val="000000" w:themeColor="text1"/>
          <w:sz w:val="28"/>
          <w:szCs w:val="28"/>
          <w:rtl/>
          <w:lang w:bidi="fa-IR"/>
        </w:rPr>
        <w:t>ای وجود ندارد</w:t>
      </w:r>
      <w:r w:rsidR="007B47B9">
        <w:rPr>
          <w:rFonts w:cs="Abz-2 (Badr)" w:hint="cs"/>
          <w:color w:val="000000" w:themeColor="text1"/>
          <w:sz w:val="28"/>
          <w:szCs w:val="28"/>
          <w:rtl/>
          <w:lang w:bidi="fa-IR"/>
        </w:rPr>
        <w:t>، همان گونه که در نفقه اقارب نيز حق رجوع اقارب برای دريافت نفقه ـ در صورت وجود شرائط آن ـ ثابت است اما اين مطلب به معنای اشتغال ذمه کسی که دادن نفقه اقارب بر وی واجب است، نمی</w:t>
      </w:r>
      <w:r w:rsidR="007B47B9">
        <w:rPr>
          <w:rFonts w:cs="Abz-2 (Badr)"/>
          <w:color w:val="000000" w:themeColor="text1"/>
          <w:sz w:val="28"/>
          <w:szCs w:val="28"/>
          <w:rtl/>
          <w:lang w:bidi="fa-IR"/>
        </w:rPr>
        <w:softHyphen/>
      </w:r>
      <w:r w:rsidR="007B47B9">
        <w:rPr>
          <w:rFonts w:cs="Abz-2 (Badr)" w:hint="cs"/>
          <w:color w:val="000000" w:themeColor="text1"/>
          <w:sz w:val="28"/>
          <w:szCs w:val="28"/>
          <w:rtl/>
          <w:lang w:bidi="fa-IR"/>
        </w:rPr>
        <w:t xml:space="preserve">باشد، فلذا اگر نفقه را عصياناً نپردازد مرتکب معصيت شده اما دينی بر عهده او نيست. </w:t>
      </w:r>
      <w:r w:rsidR="003F4526">
        <w:rPr>
          <w:rFonts w:cs="Abz-2 (Badr)" w:hint="cs"/>
          <w:color w:val="000000" w:themeColor="text1"/>
          <w:sz w:val="28"/>
          <w:szCs w:val="28"/>
          <w:rtl/>
          <w:lang w:bidi="fa-IR"/>
        </w:rPr>
        <w:t>و اگر در موارد اتلاف قائل به اشتغال ذمه متلف به مجرد تلف هستيم، بدين جهت است که دليل اتلاف بيانگر چنين شغل ذمه</w:t>
      </w:r>
      <w:r w:rsidR="003F4526">
        <w:rPr>
          <w:rFonts w:cs="Abz-2 (Badr)"/>
          <w:color w:val="000000" w:themeColor="text1"/>
          <w:sz w:val="28"/>
          <w:szCs w:val="28"/>
          <w:rtl/>
          <w:lang w:bidi="fa-IR"/>
        </w:rPr>
        <w:softHyphen/>
      </w:r>
      <w:r w:rsidR="003F4526">
        <w:rPr>
          <w:rFonts w:cs="Abz-2 (Badr)" w:hint="cs"/>
          <w:color w:val="000000" w:themeColor="text1"/>
          <w:sz w:val="28"/>
          <w:szCs w:val="28"/>
          <w:rtl/>
          <w:lang w:bidi="fa-IR"/>
        </w:rPr>
        <w:t>ای است</w:t>
      </w:r>
      <w:r w:rsidR="007B47B9">
        <w:rPr>
          <w:rFonts w:cs="Abz-2 (Badr)" w:hint="cs"/>
          <w:color w:val="000000" w:themeColor="text1"/>
          <w:sz w:val="28"/>
          <w:szCs w:val="28"/>
          <w:rtl/>
          <w:lang w:bidi="fa-IR"/>
        </w:rPr>
        <w:t>.</w:t>
      </w:r>
    </w:p>
    <w:p w14:paraId="696F3CA3" w14:textId="5E7F0E3A" w:rsidR="007B47B9" w:rsidRDefault="00C6529A" w:rsidP="007B47B9">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اگر </w:t>
      </w:r>
      <w:r w:rsidR="002A6FA3">
        <w:rPr>
          <w:rFonts w:cs="Abz-2 (Badr)" w:hint="cs"/>
          <w:color w:val="000000" w:themeColor="text1"/>
          <w:sz w:val="28"/>
          <w:szCs w:val="28"/>
          <w:rtl/>
          <w:lang w:bidi="fa-IR"/>
        </w:rPr>
        <w:t>اشکال</w:t>
      </w:r>
      <w:r>
        <w:rPr>
          <w:rFonts w:cs="Abz-2 (Badr)" w:hint="cs"/>
          <w:color w:val="000000" w:themeColor="text1"/>
          <w:sz w:val="28"/>
          <w:szCs w:val="28"/>
          <w:rtl/>
          <w:lang w:bidi="fa-IR"/>
        </w:rPr>
        <w:t xml:space="preserve"> شود: بنابر آنچه که ادعا شد، اشتغال ذمه ولو با رجوع مغرور به غار نيز دليلی ندارد، بلکه حداکثر می</w:t>
      </w:r>
      <w:r>
        <w:rPr>
          <w:rFonts w:cs="Abz-2 (Badr)"/>
          <w:color w:val="000000" w:themeColor="text1"/>
          <w:sz w:val="28"/>
          <w:szCs w:val="28"/>
          <w:rtl/>
          <w:lang w:bidi="fa-IR"/>
        </w:rPr>
        <w:softHyphen/>
      </w:r>
      <w:r>
        <w:rPr>
          <w:rFonts w:cs="Abz-2 (Badr)" w:hint="cs"/>
          <w:color w:val="000000" w:themeColor="text1"/>
          <w:sz w:val="28"/>
          <w:szCs w:val="28"/>
          <w:rtl/>
          <w:lang w:bidi="fa-IR"/>
        </w:rPr>
        <w:t>توان گفت که بر غار تکليفاً واجب است که خسارت را به مغرور بپردازد.</w:t>
      </w:r>
    </w:p>
    <w:p w14:paraId="692B52C9" w14:textId="53E3AE03" w:rsidR="00C6529A" w:rsidRDefault="00C6529A" w:rsidP="00C6529A">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lastRenderedPageBreak/>
        <w:t>پاسخ اين است که متفاهم عرفی از جواز رجوع، اين است که به واسطه رجوع ذمه کسی که به او رجوع شده مشغول می</w:t>
      </w:r>
      <w:r>
        <w:rPr>
          <w:rFonts w:cs="Abz-2 (Badr)"/>
          <w:color w:val="000000" w:themeColor="text1"/>
          <w:sz w:val="28"/>
          <w:szCs w:val="28"/>
          <w:rtl/>
          <w:lang w:bidi="fa-IR"/>
        </w:rPr>
        <w:softHyphen/>
      </w:r>
      <w:r>
        <w:rPr>
          <w:rFonts w:cs="Abz-2 (Badr)" w:hint="cs"/>
          <w:color w:val="000000" w:themeColor="text1"/>
          <w:sz w:val="28"/>
          <w:szCs w:val="28"/>
          <w:rtl/>
          <w:lang w:bidi="fa-IR"/>
        </w:rPr>
        <w:t>شود، و اگر در موردی ـ مثل نفقه اقارب ـ قائل به عدم شغل ذمه به واسطه رجوع بشويم، به واسطه دليلی است که اختصاص به مورد خود دارد.</w:t>
      </w:r>
    </w:p>
    <w:p w14:paraId="1B2460A8" w14:textId="77777777" w:rsidR="00451E5F" w:rsidRDefault="00451E5F" w:rsidP="00451E5F">
      <w:pPr>
        <w:widowControl w:val="0"/>
        <w:bidi/>
        <w:spacing w:after="0" w:line="254" w:lineRule="auto"/>
        <w:ind w:firstLine="284"/>
        <w:jc w:val="both"/>
        <w:rPr>
          <w:rFonts w:cs="Abz-2 (Badr)"/>
          <w:sz w:val="28"/>
          <w:szCs w:val="28"/>
          <w:rtl/>
          <w:lang w:bidi="fa-IR"/>
        </w:rPr>
      </w:pPr>
      <w:r>
        <w:rPr>
          <w:rFonts w:cs="Abz-2 (Badr)" w:hint="cs"/>
          <w:color w:val="000000" w:themeColor="text1"/>
          <w:sz w:val="28"/>
          <w:szCs w:val="28"/>
          <w:rtl/>
          <w:lang w:bidi="fa-IR"/>
        </w:rPr>
        <w:t>البته در برخی از اخبار ـ مثل معتبره رفاعة بن موسی ـ تعابيری آمده است مثل اين که: «</w:t>
      </w:r>
      <w:r>
        <w:rPr>
          <w:rFonts w:cs="Abz-2 (Badr)" w:hint="cs"/>
          <w:sz w:val="28"/>
          <w:szCs w:val="28"/>
          <w:rtl/>
          <w:lang w:bidi="fa-IR"/>
        </w:rPr>
        <w:t>إ</w:t>
      </w:r>
      <w:r w:rsidRPr="00C63761">
        <w:rPr>
          <w:rFonts w:cs="Abz-2 (Badr)"/>
          <w:sz w:val="28"/>
          <w:szCs w:val="28"/>
          <w:rtl/>
          <w:lang w:bidi="fa-IR"/>
        </w:rPr>
        <w:t>نّ‌ المهر على الذي زوّجها</w:t>
      </w:r>
      <w:r>
        <w:rPr>
          <w:rFonts w:cs="Abz-2 (Badr)" w:hint="cs"/>
          <w:sz w:val="28"/>
          <w:szCs w:val="28"/>
          <w:rtl/>
          <w:lang w:bidi="fa-IR"/>
        </w:rPr>
        <w:t>،</w:t>
      </w:r>
      <w:r w:rsidRPr="00C63761">
        <w:rPr>
          <w:rFonts w:cs="Abz-2 (Badr)"/>
          <w:sz w:val="28"/>
          <w:szCs w:val="28"/>
          <w:rtl/>
          <w:lang w:bidi="fa-IR"/>
        </w:rPr>
        <w:t xml:space="preserve"> وإنّما صار المهر عليه‌ لأنّه‌ دلّسها</w:t>
      </w:r>
      <w:r>
        <w:rPr>
          <w:rFonts w:cs="Abz-2 (Badr)" w:hint="cs"/>
          <w:sz w:val="28"/>
          <w:szCs w:val="28"/>
          <w:rtl/>
          <w:lang w:bidi="fa-IR"/>
        </w:rPr>
        <w:t>»</w:t>
      </w:r>
      <w:r w:rsidRPr="002D27AB">
        <w:rPr>
          <w:rStyle w:val="FootnoteReference"/>
          <w:rFonts w:cs="Abz-2 (Badr)"/>
          <w:sz w:val="28"/>
          <w:szCs w:val="28"/>
          <w:rtl/>
          <w:lang w:bidi="fa-IR"/>
        </w:rPr>
        <w:footnoteReference w:id="1"/>
      </w:r>
      <w:r>
        <w:rPr>
          <w:rFonts w:cs="Abz-2 (Badr)" w:hint="cs"/>
          <w:sz w:val="28"/>
          <w:szCs w:val="28"/>
          <w:rtl/>
          <w:lang w:bidi="fa-IR"/>
        </w:rPr>
        <w:t xml:space="preserve"> و اين تعابير ممکن است موهم اين امر باشد که ذمه غار به مجرد غرور مشغول می</w:t>
      </w:r>
      <w:r>
        <w:rPr>
          <w:rFonts w:cs="Abz-2 (Badr)"/>
          <w:sz w:val="28"/>
          <w:szCs w:val="28"/>
          <w:rtl/>
          <w:lang w:bidi="fa-IR"/>
        </w:rPr>
        <w:softHyphen/>
      </w:r>
      <w:r>
        <w:rPr>
          <w:rFonts w:cs="Abz-2 (Badr)" w:hint="cs"/>
          <w:sz w:val="28"/>
          <w:szCs w:val="28"/>
          <w:rtl/>
          <w:lang w:bidi="fa-IR"/>
        </w:rPr>
        <w:t>گردد.</w:t>
      </w:r>
    </w:p>
    <w:p w14:paraId="5D9CBBA3" w14:textId="77777777" w:rsidR="00451E5F" w:rsidRDefault="00451E5F" w:rsidP="00451E5F">
      <w:pPr>
        <w:widowControl w:val="0"/>
        <w:bidi/>
        <w:spacing w:after="0" w:line="254" w:lineRule="auto"/>
        <w:ind w:firstLine="284"/>
        <w:jc w:val="both"/>
        <w:rPr>
          <w:rFonts w:cs="Abz-2 (Badr)"/>
          <w:sz w:val="28"/>
          <w:szCs w:val="28"/>
          <w:rtl/>
          <w:lang w:bidi="fa-IR"/>
        </w:rPr>
      </w:pPr>
      <w:r>
        <w:rPr>
          <w:rFonts w:cs="Abz-2 (Badr)" w:hint="cs"/>
          <w:sz w:val="28"/>
          <w:szCs w:val="28"/>
          <w:rtl/>
          <w:lang w:bidi="fa-IR"/>
        </w:rPr>
        <w:t>اما همان گونه که سابقاً گذشت، اين اخبار در صدد بيان استقرار مهر بر عهده غار هستند نه اشتغال ابتدائی ذمه وی به مجرد غرور، مضافاً بر اين که در آنها دلالتی بر اشتغال ذمه غار به مغرور وجود ندارد، بلکه ظاهر آنها اشتغال ذمه غار و مدلّس به زوجه است.</w:t>
      </w:r>
    </w:p>
    <w:p w14:paraId="60D7354E" w14:textId="64E1789E" w:rsidR="00451E5F" w:rsidRDefault="00451E5F" w:rsidP="00451E5F">
      <w:pPr>
        <w:widowControl w:val="0"/>
        <w:bidi/>
        <w:spacing w:after="0" w:line="254" w:lineRule="auto"/>
        <w:ind w:firstLine="284"/>
        <w:jc w:val="both"/>
        <w:rPr>
          <w:rFonts w:cs="Abz-2 (Badr)"/>
          <w:sz w:val="28"/>
          <w:szCs w:val="28"/>
          <w:lang w:bidi="fa-IR"/>
        </w:rPr>
      </w:pPr>
      <w:r>
        <w:rPr>
          <w:rFonts w:cs="Abz-2 (Badr)" w:hint="cs"/>
          <w:sz w:val="28"/>
          <w:szCs w:val="28"/>
          <w:rtl/>
          <w:lang w:bidi="fa-IR"/>
        </w:rPr>
        <w:t>در واقع ضمان به غرور به مانند ضمان ايادی متعاقبه است که کسی که خسارت را پرداخت کرده حق رجوع به کسی که قبل از وی بر مال يد پيدا کرده بوده را داراست، اما معنای آن اين نيست که به مجرد اين که وی خسارت را پرداخت کرد، ذمه فرد سابق بر وی به او مشغول می</w:t>
      </w:r>
      <w:r>
        <w:rPr>
          <w:rFonts w:cs="Abz-2 (Badr)"/>
          <w:sz w:val="28"/>
          <w:szCs w:val="28"/>
          <w:rtl/>
          <w:lang w:bidi="fa-IR"/>
        </w:rPr>
        <w:softHyphen/>
      </w:r>
      <w:r>
        <w:rPr>
          <w:rFonts w:cs="Abz-2 (Badr)" w:hint="cs"/>
          <w:sz w:val="28"/>
          <w:szCs w:val="28"/>
          <w:rtl/>
          <w:lang w:bidi="fa-IR"/>
        </w:rPr>
        <w:t>شود.</w:t>
      </w:r>
    </w:p>
    <w:p w14:paraId="5D410C6F" w14:textId="4E6D9A27" w:rsidR="002133D5" w:rsidRDefault="002133D5" w:rsidP="00F03C99">
      <w:pPr>
        <w:widowControl w:val="0"/>
        <w:bidi/>
        <w:spacing w:after="0" w:line="254" w:lineRule="auto"/>
        <w:ind w:firstLine="284"/>
        <w:jc w:val="both"/>
        <w:rPr>
          <w:rFonts w:cs="Abz-2 (Badr)"/>
          <w:sz w:val="28"/>
          <w:szCs w:val="28"/>
          <w:rtl/>
          <w:lang w:bidi="fa-IR"/>
        </w:rPr>
      </w:pPr>
      <w:bookmarkStart w:id="3" w:name="_Hlk118019298"/>
      <w:r>
        <w:rPr>
          <w:rFonts w:cs="Abz-2 (Badr)" w:hint="cs"/>
          <w:sz w:val="28"/>
          <w:szCs w:val="28"/>
          <w:rtl/>
          <w:lang w:bidi="fa-IR"/>
        </w:rPr>
        <w:t>بنابر اين می</w:t>
      </w:r>
      <w:r>
        <w:rPr>
          <w:rFonts w:cs="Abz-2 (Badr)"/>
          <w:sz w:val="28"/>
          <w:szCs w:val="28"/>
          <w:rtl/>
          <w:lang w:bidi="fa-IR"/>
        </w:rPr>
        <w:softHyphen/>
      </w:r>
      <w:r>
        <w:rPr>
          <w:rFonts w:cs="Abz-2 (Badr)" w:hint="cs"/>
          <w:sz w:val="28"/>
          <w:szCs w:val="28"/>
          <w:rtl/>
          <w:lang w:bidi="fa-IR"/>
        </w:rPr>
        <w:t>توان گفت: با عدم اشتغال ذمه غار به مغرور به جهت عدم رجوع وی، ورثه حقی برای رجوع به غار برای مطالبه طلب مورث را ندارند.</w:t>
      </w:r>
    </w:p>
    <w:bookmarkEnd w:id="3"/>
    <w:p w14:paraId="38DD447A" w14:textId="3A39FA38" w:rsidR="00F03C99" w:rsidRPr="00F03C99" w:rsidRDefault="00F03C99" w:rsidP="002133D5">
      <w:pPr>
        <w:widowControl w:val="0"/>
        <w:bidi/>
        <w:spacing w:after="0" w:line="254" w:lineRule="auto"/>
        <w:ind w:firstLine="284"/>
        <w:jc w:val="both"/>
        <w:rPr>
          <w:rFonts w:cs="Abz-2 (Badr)" w:hint="cs"/>
          <w:color w:val="000000" w:themeColor="text1"/>
          <w:sz w:val="28"/>
          <w:szCs w:val="28"/>
          <w:rtl/>
          <w:lang w:bidi="fa-IR"/>
        </w:rPr>
      </w:pPr>
      <w:r>
        <w:rPr>
          <w:rFonts w:cs="Abz-2 (Badr)" w:hint="cs"/>
          <w:sz w:val="28"/>
          <w:szCs w:val="28"/>
          <w:rtl/>
          <w:lang w:bidi="fa-IR"/>
        </w:rPr>
        <w:t>بله، چنانچه قائل شويم اطلاقات و عمومات ادله دلالت بر اين می</w:t>
      </w:r>
      <w:r>
        <w:rPr>
          <w:rFonts w:cs="Abz-2 (Badr)"/>
          <w:sz w:val="28"/>
          <w:szCs w:val="28"/>
          <w:rtl/>
          <w:lang w:bidi="fa-IR"/>
        </w:rPr>
        <w:softHyphen/>
      </w:r>
      <w:r>
        <w:rPr>
          <w:rFonts w:cs="Abz-2 (Badr)" w:hint="cs"/>
          <w:sz w:val="28"/>
          <w:szCs w:val="28"/>
          <w:rtl/>
          <w:lang w:bidi="fa-IR"/>
        </w:rPr>
        <w:t>کنند که حقوق مالی همگی به ارث می</w:t>
      </w:r>
      <w:r>
        <w:rPr>
          <w:rFonts w:cs="Abz-2 (Badr)"/>
          <w:sz w:val="28"/>
          <w:szCs w:val="28"/>
          <w:rtl/>
          <w:lang w:bidi="fa-IR"/>
        </w:rPr>
        <w:softHyphen/>
      </w:r>
      <w:r>
        <w:rPr>
          <w:rFonts w:cs="Abz-2 (Badr)" w:hint="cs"/>
          <w:sz w:val="28"/>
          <w:szCs w:val="28"/>
          <w:rtl/>
          <w:lang w:bidi="fa-IR"/>
        </w:rPr>
        <w:t>رسند ولو ذمه کسی که حق رجوع به وی وجود دارد تا قبل از رجوع مشغول نباشد، در اين صورت می</w:t>
      </w:r>
      <w:r>
        <w:rPr>
          <w:rFonts w:cs="Abz-2 (Badr)"/>
          <w:sz w:val="28"/>
          <w:szCs w:val="28"/>
          <w:rtl/>
          <w:lang w:bidi="fa-IR"/>
        </w:rPr>
        <w:softHyphen/>
      </w:r>
      <w:r>
        <w:rPr>
          <w:rFonts w:cs="Abz-2 (Badr)" w:hint="cs"/>
          <w:sz w:val="28"/>
          <w:szCs w:val="28"/>
          <w:rtl/>
          <w:lang w:bidi="fa-IR"/>
        </w:rPr>
        <w:t>توان ملتزم به حق رجوع ورثه در فرض مذکور شد و اين مطلب نيز بعيد نيست.</w:t>
      </w:r>
    </w:p>
    <w:bookmarkEnd w:id="2"/>
    <w:p w14:paraId="3B24CA0D" w14:textId="77777777" w:rsidR="00451E5F" w:rsidRPr="00F97DBE" w:rsidRDefault="00451E5F" w:rsidP="00451E5F">
      <w:pPr>
        <w:widowControl w:val="0"/>
        <w:bidi/>
        <w:spacing w:after="0" w:line="254" w:lineRule="auto"/>
        <w:ind w:firstLine="284"/>
        <w:jc w:val="both"/>
        <w:rPr>
          <w:rFonts w:cs="Abz-2 (Badr)"/>
          <w:color w:val="000000" w:themeColor="text1"/>
          <w:spacing w:val="-2"/>
          <w:sz w:val="28"/>
          <w:szCs w:val="28"/>
          <w:rtl/>
          <w:lang w:bidi="fa-IR"/>
        </w:rPr>
      </w:pPr>
      <w:r w:rsidRPr="00F97DBE">
        <w:rPr>
          <w:rFonts w:cs="Abz-2 (Badr)" w:hint="cs"/>
          <w:color w:val="000000" w:themeColor="text1"/>
          <w:spacing w:val="-2"/>
          <w:sz w:val="28"/>
          <w:szCs w:val="28"/>
          <w:rtl/>
          <w:lang w:bidi="fa-IR"/>
        </w:rPr>
        <w:t>اما آنچه در خصوص جواز فسخ زوج گفته شد، در جايی بود که مدلّس غير مولا باشد. ولی چنانچه مولا امه را با تدليس به حره بودن او به نکاح کسی درآورد، شيخ قائل به صحت عقد و عدم خيار در آن در بعضی از صور شده است.</w:t>
      </w:r>
    </w:p>
    <w:p w14:paraId="0D6830F6" w14:textId="77777777" w:rsidR="00451E5F" w:rsidRPr="00CD6CFA" w:rsidRDefault="00451E5F" w:rsidP="00451E5F">
      <w:pPr>
        <w:widowControl w:val="0"/>
        <w:bidi/>
        <w:spacing w:after="0" w:line="254"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قال الشيخ في المبسوط: «</w:t>
      </w:r>
      <w:r w:rsidRPr="00CD6CFA">
        <w:rPr>
          <w:rFonts w:cs="Abz-2 (Badr)"/>
          <w:color w:val="000000" w:themeColor="text1"/>
          <w:sz w:val="28"/>
          <w:szCs w:val="28"/>
          <w:rtl/>
          <w:lang w:bidi="fa-IR"/>
        </w:rPr>
        <w:t>إذا تزو</w:t>
      </w:r>
      <w:r>
        <w:rPr>
          <w:rFonts w:cs="Abz-2 (Badr)" w:hint="cs"/>
          <w:color w:val="000000" w:themeColor="text1"/>
          <w:sz w:val="28"/>
          <w:szCs w:val="28"/>
          <w:rtl/>
          <w:lang w:bidi="fa-IR"/>
        </w:rPr>
        <w:t>ّ</w:t>
      </w:r>
      <w:r w:rsidRPr="00CD6CFA">
        <w:rPr>
          <w:rFonts w:cs="Abz-2 (Badr)"/>
          <w:color w:val="000000" w:themeColor="text1"/>
          <w:sz w:val="28"/>
          <w:szCs w:val="28"/>
          <w:rtl/>
          <w:lang w:bidi="fa-IR"/>
        </w:rPr>
        <w:t>ج الحر</w:t>
      </w:r>
      <w:r>
        <w:rPr>
          <w:rFonts w:cs="Abz-2 (Badr)" w:hint="cs"/>
          <w:color w:val="000000" w:themeColor="text1"/>
          <w:sz w:val="28"/>
          <w:szCs w:val="28"/>
          <w:rtl/>
          <w:lang w:bidi="fa-IR"/>
        </w:rPr>
        <w:t>ّ</w:t>
      </w:r>
      <w:r w:rsidRPr="00CD6CFA">
        <w:rPr>
          <w:rFonts w:cs="Abz-2 (Badr)"/>
          <w:color w:val="000000" w:themeColor="text1"/>
          <w:sz w:val="28"/>
          <w:szCs w:val="28"/>
          <w:rtl/>
          <w:lang w:bidi="fa-IR"/>
        </w:rPr>
        <w:t xml:space="preserve"> امرأة على أن</w:t>
      </w:r>
      <w:r>
        <w:rPr>
          <w:rFonts w:cs="Abz-2 (Badr)" w:hint="cs"/>
          <w:color w:val="000000" w:themeColor="text1"/>
          <w:sz w:val="28"/>
          <w:szCs w:val="28"/>
          <w:rtl/>
          <w:lang w:bidi="fa-IR"/>
        </w:rPr>
        <w:t>ّ</w:t>
      </w:r>
      <w:r w:rsidRPr="00CD6CFA">
        <w:rPr>
          <w:rFonts w:cs="Abz-2 (Badr)"/>
          <w:color w:val="000000" w:themeColor="text1"/>
          <w:sz w:val="28"/>
          <w:szCs w:val="28"/>
          <w:rtl/>
          <w:lang w:bidi="fa-IR"/>
        </w:rPr>
        <w:t>ها حر</w:t>
      </w:r>
      <w:r>
        <w:rPr>
          <w:rFonts w:cs="Abz-2 (Badr)" w:hint="cs"/>
          <w:color w:val="000000" w:themeColor="text1"/>
          <w:sz w:val="28"/>
          <w:szCs w:val="28"/>
          <w:rtl/>
          <w:lang w:bidi="fa-IR"/>
        </w:rPr>
        <w:t>ّ</w:t>
      </w:r>
      <w:r w:rsidRPr="00CD6CFA">
        <w:rPr>
          <w:rFonts w:cs="Abz-2 (Badr)"/>
          <w:color w:val="000000" w:themeColor="text1"/>
          <w:sz w:val="28"/>
          <w:szCs w:val="28"/>
          <w:rtl/>
          <w:lang w:bidi="fa-IR"/>
        </w:rPr>
        <w:t>ة فبانت أمة</w:t>
      </w:r>
      <w:r>
        <w:rPr>
          <w:rFonts w:cs="Abz-2 (Badr)" w:hint="cs"/>
          <w:color w:val="000000" w:themeColor="text1"/>
          <w:sz w:val="28"/>
          <w:szCs w:val="28"/>
          <w:rtl/>
          <w:lang w:bidi="fa-IR"/>
        </w:rPr>
        <w:t>،</w:t>
      </w:r>
      <w:r w:rsidRPr="00CD6CFA">
        <w:rPr>
          <w:rFonts w:cs="Abz-2 (Badr)"/>
          <w:color w:val="000000" w:themeColor="text1"/>
          <w:sz w:val="28"/>
          <w:szCs w:val="28"/>
          <w:rtl/>
          <w:lang w:bidi="fa-IR"/>
        </w:rPr>
        <w:t xml:space="preserve"> كان النكاح فاسدا</w:t>
      </w:r>
      <w:r>
        <w:rPr>
          <w:rFonts w:cs="Abz-2 (Badr)" w:hint="cs"/>
          <w:color w:val="000000" w:themeColor="text1"/>
          <w:sz w:val="28"/>
          <w:szCs w:val="28"/>
          <w:rtl/>
          <w:lang w:bidi="fa-IR"/>
        </w:rPr>
        <w:t xml:space="preserve">ً. </w:t>
      </w:r>
      <w:r w:rsidRPr="00CD6CFA">
        <w:rPr>
          <w:rFonts w:cs="Abz-2 (Badr)"/>
          <w:color w:val="000000" w:themeColor="text1"/>
          <w:sz w:val="28"/>
          <w:szCs w:val="28"/>
          <w:rtl/>
          <w:lang w:bidi="fa-IR"/>
        </w:rPr>
        <w:t>وقال قوم يصح</w:t>
      </w:r>
      <w:r>
        <w:rPr>
          <w:rFonts w:cs="Abz-2 (Badr)" w:hint="cs"/>
          <w:color w:val="000000" w:themeColor="text1"/>
          <w:sz w:val="28"/>
          <w:szCs w:val="28"/>
          <w:rtl/>
          <w:lang w:bidi="fa-IR"/>
        </w:rPr>
        <w:t>ّ</w:t>
      </w:r>
      <w:r w:rsidRPr="00CD6CFA">
        <w:rPr>
          <w:rFonts w:cs="Abz-2 (Badr)"/>
          <w:color w:val="000000" w:themeColor="text1"/>
          <w:sz w:val="28"/>
          <w:szCs w:val="28"/>
          <w:rtl/>
          <w:lang w:bidi="fa-IR"/>
        </w:rPr>
        <w:t xml:space="preserve"> العقد</w:t>
      </w:r>
      <w:r>
        <w:rPr>
          <w:rFonts w:cs="Abz-2 (Badr)" w:hint="cs"/>
          <w:color w:val="000000" w:themeColor="text1"/>
          <w:sz w:val="28"/>
          <w:szCs w:val="28"/>
          <w:rtl/>
          <w:lang w:bidi="fa-IR"/>
        </w:rPr>
        <w:t>.</w:t>
      </w:r>
      <w:r w:rsidRPr="00CD6CFA">
        <w:rPr>
          <w:rFonts w:cs="Abz-2 (Badr)"/>
          <w:color w:val="000000" w:themeColor="text1"/>
          <w:sz w:val="28"/>
          <w:szCs w:val="28"/>
          <w:rtl/>
          <w:lang w:bidi="fa-IR"/>
        </w:rPr>
        <w:t xml:space="preserve"> وتصح</w:t>
      </w:r>
      <w:r>
        <w:rPr>
          <w:rFonts w:cs="Abz-2 (Badr)" w:hint="cs"/>
          <w:color w:val="000000" w:themeColor="text1"/>
          <w:sz w:val="28"/>
          <w:szCs w:val="28"/>
          <w:rtl/>
          <w:lang w:bidi="fa-IR"/>
        </w:rPr>
        <w:t>ّ</w:t>
      </w:r>
      <w:r w:rsidRPr="00CD6CFA">
        <w:rPr>
          <w:rFonts w:cs="Abz-2 (Badr)"/>
          <w:color w:val="000000" w:themeColor="text1"/>
          <w:sz w:val="28"/>
          <w:szCs w:val="28"/>
          <w:rtl/>
          <w:lang w:bidi="fa-IR"/>
        </w:rPr>
        <w:t xml:space="preserve"> هذه المسئلة بأربعة شرائط: </w:t>
      </w:r>
    </w:p>
    <w:p w14:paraId="712B17D8" w14:textId="77777777" w:rsidR="00451E5F" w:rsidRDefault="00451E5F" w:rsidP="00451E5F">
      <w:pPr>
        <w:widowControl w:val="0"/>
        <w:bidi/>
        <w:spacing w:after="0" w:line="254" w:lineRule="auto"/>
        <w:ind w:firstLine="284"/>
        <w:jc w:val="both"/>
        <w:rPr>
          <w:rFonts w:cs="Abz-2 (Badr)"/>
          <w:color w:val="000000" w:themeColor="text1"/>
          <w:sz w:val="28"/>
          <w:szCs w:val="28"/>
          <w:rtl/>
          <w:lang w:bidi="fa-IR"/>
        </w:rPr>
      </w:pPr>
      <w:r w:rsidRPr="00CD6CFA">
        <w:rPr>
          <w:rFonts w:cs="Abz-2 (Badr)"/>
          <w:color w:val="000000" w:themeColor="text1"/>
          <w:sz w:val="28"/>
          <w:szCs w:val="28"/>
          <w:rtl/>
          <w:lang w:bidi="fa-IR"/>
        </w:rPr>
        <w:t>أحدها</w:t>
      </w:r>
      <w:r>
        <w:rPr>
          <w:rFonts w:cs="Abz-2 (Badr)" w:hint="cs"/>
          <w:color w:val="000000" w:themeColor="text1"/>
          <w:sz w:val="28"/>
          <w:szCs w:val="28"/>
          <w:rtl/>
          <w:lang w:bidi="fa-IR"/>
        </w:rPr>
        <w:t>:</w:t>
      </w:r>
      <w:r w:rsidRPr="00CD6CFA">
        <w:rPr>
          <w:rFonts w:cs="Abz-2 (Badr)"/>
          <w:color w:val="000000" w:themeColor="text1"/>
          <w:sz w:val="28"/>
          <w:szCs w:val="28"/>
          <w:rtl/>
          <w:lang w:bidi="fa-IR"/>
        </w:rPr>
        <w:t xml:space="preserve"> أن يكون الحر</w:t>
      </w:r>
      <w:r>
        <w:rPr>
          <w:rFonts w:cs="Abz-2 (Badr)" w:hint="cs"/>
          <w:color w:val="000000" w:themeColor="text1"/>
          <w:sz w:val="28"/>
          <w:szCs w:val="28"/>
          <w:rtl/>
          <w:lang w:bidi="fa-IR"/>
        </w:rPr>
        <w:t>ّ</w:t>
      </w:r>
      <w:r w:rsidRPr="00CD6CFA">
        <w:rPr>
          <w:rFonts w:cs="Abz-2 (Badr)"/>
          <w:color w:val="000000" w:themeColor="text1"/>
          <w:sz w:val="28"/>
          <w:szCs w:val="28"/>
          <w:rtl/>
          <w:lang w:bidi="fa-IR"/>
        </w:rPr>
        <w:t xml:space="preserve"> مم</w:t>
      </w:r>
      <w:r>
        <w:rPr>
          <w:rFonts w:cs="Abz-2 (Badr)" w:hint="cs"/>
          <w:color w:val="000000" w:themeColor="text1"/>
          <w:sz w:val="28"/>
          <w:szCs w:val="28"/>
          <w:rtl/>
          <w:lang w:bidi="fa-IR"/>
        </w:rPr>
        <w:t>ّ</w:t>
      </w:r>
      <w:r w:rsidRPr="00CD6CFA">
        <w:rPr>
          <w:rFonts w:cs="Abz-2 (Badr)"/>
          <w:color w:val="000000" w:themeColor="text1"/>
          <w:sz w:val="28"/>
          <w:szCs w:val="28"/>
          <w:rtl/>
          <w:lang w:bidi="fa-IR"/>
        </w:rPr>
        <w:t>ن يحل</w:t>
      </w:r>
      <w:r>
        <w:rPr>
          <w:rFonts w:cs="Abz-2 (Badr)" w:hint="cs"/>
          <w:color w:val="000000" w:themeColor="text1"/>
          <w:sz w:val="28"/>
          <w:szCs w:val="28"/>
          <w:rtl/>
          <w:lang w:bidi="fa-IR"/>
        </w:rPr>
        <w:t>ّ</w:t>
      </w:r>
      <w:r w:rsidRPr="00CD6CFA">
        <w:rPr>
          <w:rFonts w:cs="Abz-2 (Badr)"/>
          <w:color w:val="000000" w:themeColor="text1"/>
          <w:sz w:val="28"/>
          <w:szCs w:val="28"/>
          <w:rtl/>
          <w:lang w:bidi="fa-IR"/>
        </w:rPr>
        <w:t xml:space="preserve"> له نكاح أمة</w:t>
      </w:r>
      <w:r>
        <w:rPr>
          <w:rFonts w:cs="Abz-2 (Badr)" w:hint="cs"/>
          <w:color w:val="000000" w:themeColor="text1"/>
          <w:sz w:val="28"/>
          <w:szCs w:val="28"/>
          <w:rtl/>
          <w:lang w:bidi="fa-IR"/>
        </w:rPr>
        <w:t xml:space="preserve">... </w:t>
      </w:r>
      <w:r w:rsidRPr="00CD6CFA">
        <w:rPr>
          <w:rFonts w:cs="Abz-2 (Badr)"/>
          <w:color w:val="000000" w:themeColor="text1"/>
          <w:sz w:val="28"/>
          <w:szCs w:val="28"/>
          <w:rtl/>
          <w:lang w:bidi="fa-IR"/>
        </w:rPr>
        <w:t>والثاني</w:t>
      </w:r>
      <w:r>
        <w:rPr>
          <w:rFonts w:cs="Abz-2 (Badr)" w:hint="cs"/>
          <w:color w:val="000000" w:themeColor="text1"/>
          <w:sz w:val="28"/>
          <w:szCs w:val="28"/>
          <w:rtl/>
          <w:lang w:bidi="fa-IR"/>
        </w:rPr>
        <w:t>:</w:t>
      </w:r>
      <w:r w:rsidRPr="00CD6CFA">
        <w:rPr>
          <w:rFonts w:cs="Abz-2 (Badr)"/>
          <w:color w:val="000000" w:themeColor="text1"/>
          <w:sz w:val="28"/>
          <w:szCs w:val="28"/>
          <w:rtl/>
          <w:lang w:bidi="fa-IR"/>
        </w:rPr>
        <w:t xml:space="preserve"> أن يكون النكاح ب</w:t>
      </w:r>
      <w:r>
        <w:rPr>
          <w:rFonts w:cs="Abz-2 (Badr)" w:hint="cs"/>
          <w:color w:val="000000" w:themeColor="text1"/>
          <w:sz w:val="28"/>
          <w:szCs w:val="28"/>
          <w:rtl/>
          <w:lang w:bidi="fa-IR"/>
        </w:rPr>
        <w:t>إ</w:t>
      </w:r>
      <w:r w:rsidRPr="00CD6CFA">
        <w:rPr>
          <w:rFonts w:cs="Abz-2 (Badr)"/>
          <w:color w:val="000000" w:themeColor="text1"/>
          <w:sz w:val="28"/>
          <w:szCs w:val="28"/>
          <w:rtl/>
          <w:lang w:bidi="fa-IR"/>
        </w:rPr>
        <w:t>ذن سي</w:t>
      </w:r>
      <w:r>
        <w:rPr>
          <w:rFonts w:cs="Abz-2 (Badr)" w:hint="cs"/>
          <w:color w:val="000000" w:themeColor="text1"/>
          <w:sz w:val="28"/>
          <w:szCs w:val="28"/>
          <w:rtl/>
          <w:lang w:bidi="fa-IR"/>
        </w:rPr>
        <w:t>ّ</w:t>
      </w:r>
      <w:r w:rsidRPr="00CD6CFA">
        <w:rPr>
          <w:rFonts w:cs="Abz-2 (Badr)"/>
          <w:color w:val="000000" w:themeColor="text1"/>
          <w:sz w:val="28"/>
          <w:szCs w:val="28"/>
          <w:rtl/>
          <w:lang w:bidi="fa-IR"/>
        </w:rPr>
        <w:t>دها</w:t>
      </w:r>
      <w:r>
        <w:rPr>
          <w:rFonts w:cs="Abz-2 (Badr)" w:hint="cs"/>
          <w:color w:val="000000" w:themeColor="text1"/>
          <w:sz w:val="28"/>
          <w:szCs w:val="28"/>
          <w:rtl/>
          <w:lang w:bidi="fa-IR"/>
        </w:rPr>
        <w:t xml:space="preserve">... </w:t>
      </w:r>
      <w:r w:rsidRPr="00CD6CFA">
        <w:rPr>
          <w:rFonts w:cs="Abz-2 (Badr)"/>
          <w:color w:val="000000" w:themeColor="text1"/>
          <w:sz w:val="28"/>
          <w:szCs w:val="28"/>
          <w:rtl/>
          <w:lang w:bidi="fa-IR"/>
        </w:rPr>
        <w:t>الثالث</w:t>
      </w:r>
      <w:r>
        <w:rPr>
          <w:rFonts w:cs="Abz-2 (Badr)" w:hint="cs"/>
          <w:color w:val="000000" w:themeColor="text1"/>
          <w:sz w:val="28"/>
          <w:szCs w:val="28"/>
          <w:rtl/>
          <w:lang w:bidi="fa-IR"/>
        </w:rPr>
        <w:t>:</w:t>
      </w:r>
      <w:r w:rsidRPr="00CD6CFA">
        <w:rPr>
          <w:rFonts w:cs="Abz-2 (Badr)"/>
          <w:color w:val="000000" w:themeColor="text1"/>
          <w:sz w:val="28"/>
          <w:szCs w:val="28"/>
          <w:rtl/>
          <w:lang w:bidi="fa-IR"/>
        </w:rPr>
        <w:t xml:space="preserve"> أن يكون الشرط مقارنا</w:t>
      </w:r>
      <w:r>
        <w:rPr>
          <w:rFonts w:cs="Abz-2 (Badr)" w:hint="cs"/>
          <w:color w:val="000000" w:themeColor="text1"/>
          <w:sz w:val="28"/>
          <w:szCs w:val="28"/>
          <w:rtl/>
          <w:lang w:bidi="fa-IR"/>
        </w:rPr>
        <w:t>ً</w:t>
      </w:r>
      <w:r w:rsidRPr="00CD6CFA">
        <w:rPr>
          <w:rFonts w:cs="Abz-2 (Badr)"/>
          <w:color w:val="000000" w:themeColor="text1"/>
          <w:sz w:val="28"/>
          <w:szCs w:val="28"/>
          <w:rtl/>
          <w:lang w:bidi="fa-IR"/>
        </w:rPr>
        <w:t xml:space="preserve"> للعقد</w:t>
      </w:r>
      <w:r>
        <w:rPr>
          <w:rFonts w:cs="Abz-2 (Badr)" w:hint="cs"/>
          <w:color w:val="000000" w:themeColor="text1"/>
          <w:sz w:val="28"/>
          <w:szCs w:val="28"/>
          <w:rtl/>
          <w:lang w:bidi="fa-IR"/>
        </w:rPr>
        <w:t>...</w:t>
      </w:r>
      <w:r w:rsidRPr="00CD6CFA">
        <w:rPr>
          <w:rFonts w:cs="Abz-2 (Badr)"/>
          <w:color w:val="000000" w:themeColor="text1"/>
          <w:sz w:val="28"/>
          <w:szCs w:val="28"/>
          <w:rtl/>
          <w:lang w:bidi="fa-IR"/>
        </w:rPr>
        <w:t xml:space="preserve"> الرابع</w:t>
      </w:r>
      <w:r>
        <w:rPr>
          <w:rFonts w:cs="Abz-2 (Badr)" w:hint="cs"/>
          <w:color w:val="000000" w:themeColor="text1"/>
          <w:sz w:val="28"/>
          <w:szCs w:val="28"/>
          <w:rtl/>
          <w:lang w:bidi="fa-IR"/>
        </w:rPr>
        <w:t>:</w:t>
      </w:r>
      <w:r w:rsidRPr="00CD6CFA">
        <w:rPr>
          <w:rFonts w:cs="Abz-2 (Badr)"/>
          <w:color w:val="000000" w:themeColor="text1"/>
          <w:sz w:val="28"/>
          <w:szCs w:val="28"/>
          <w:rtl/>
          <w:lang w:bidi="fa-IR"/>
        </w:rPr>
        <w:t xml:space="preserve"> أن يكون الغار</w:t>
      </w:r>
      <w:r>
        <w:rPr>
          <w:rFonts w:cs="Abz-2 (Badr)" w:hint="cs"/>
          <w:color w:val="000000" w:themeColor="text1"/>
          <w:sz w:val="28"/>
          <w:szCs w:val="28"/>
          <w:rtl/>
          <w:lang w:bidi="fa-IR"/>
        </w:rPr>
        <w:t>ّ</w:t>
      </w:r>
      <w:r w:rsidRPr="00CD6CFA">
        <w:rPr>
          <w:rFonts w:cs="Abz-2 (Badr)"/>
          <w:color w:val="000000" w:themeColor="text1"/>
          <w:sz w:val="28"/>
          <w:szCs w:val="28"/>
          <w:rtl/>
          <w:lang w:bidi="fa-IR"/>
        </w:rPr>
        <w:t xml:space="preserve"> الأمة أو وكيل السي</w:t>
      </w:r>
      <w:r>
        <w:rPr>
          <w:rFonts w:cs="Abz-2 (Badr)" w:hint="cs"/>
          <w:color w:val="000000" w:themeColor="text1"/>
          <w:sz w:val="28"/>
          <w:szCs w:val="28"/>
          <w:rtl/>
          <w:lang w:bidi="fa-IR"/>
        </w:rPr>
        <w:t>ّ</w:t>
      </w:r>
      <w:r w:rsidRPr="00CD6CFA">
        <w:rPr>
          <w:rFonts w:cs="Abz-2 (Badr)"/>
          <w:color w:val="000000" w:themeColor="text1"/>
          <w:sz w:val="28"/>
          <w:szCs w:val="28"/>
          <w:rtl/>
          <w:lang w:bidi="fa-IR"/>
        </w:rPr>
        <w:t>د، وأم</w:t>
      </w:r>
      <w:r>
        <w:rPr>
          <w:rFonts w:cs="Abz-2 (Badr)" w:hint="cs"/>
          <w:color w:val="000000" w:themeColor="text1"/>
          <w:sz w:val="28"/>
          <w:szCs w:val="28"/>
          <w:rtl/>
          <w:lang w:bidi="fa-IR"/>
        </w:rPr>
        <w:t>ّ</w:t>
      </w:r>
      <w:r w:rsidRPr="00CD6CFA">
        <w:rPr>
          <w:rFonts w:cs="Abz-2 (Badr)"/>
          <w:color w:val="000000" w:themeColor="text1"/>
          <w:sz w:val="28"/>
          <w:szCs w:val="28"/>
          <w:rtl/>
          <w:lang w:bidi="fa-IR"/>
        </w:rPr>
        <w:t>ا إن كان السي</w:t>
      </w:r>
      <w:r>
        <w:rPr>
          <w:rFonts w:cs="Abz-2 (Badr)" w:hint="cs"/>
          <w:color w:val="000000" w:themeColor="text1"/>
          <w:sz w:val="28"/>
          <w:szCs w:val="28"/>
          <w:rtl/>
          <w:lang w:bidi="fa-IR"/>
        </w:rPr>
        <w:t>ّ</w:t>
      </w:r>
      <w:r w:rsidRPr="00CD6CFA">
        <w:rPr>
          <w:rFonts w:cs="Abz-2 (Badr)"/>
          <w:color w:val="000000" w:themeColor="text1"/>
          <w:sz w:val="28"/>
          <w:szCs w:val="28"/>
          <w:rtl/>
          <w:lang w:bidi="fa-IR"/>
        </w:rPr>
        <w:t>د هو الذي يغر</w:t>
      </w:r>
      <w:r>
        <w:rPr>
          <w:rFonts w:cs="Abz-2 (Badr)" w:hint="cs"/>
          <w:color w:val="000000" w:themeColor="text1"/>
          <w:sz w:val="28"/>
          <w:szCs w:val="28"/>
          <w:rtl/>
          <w:lang w:bidi="fa-IR"/>
        </w:rPr>
        <w:t>ّ</w:t>
      </w:r>
      <w:r w:rsidRPr="00CD6CFA">
        <w:rPr>
          <w:rFonts w:cs="Abz-2 (Badr)"/>
          <w:color w:val="000000" w:themeColor="text1"/>
          <w:sz w:val="28"/>
          <w:szCs w:val="28"/>
          <w:rtl/>
          <w:lang w:bidi="fa-IR"/>
        </w:rPr>
        <w:t>ه كان قوله على أن</w:t>
      </w:r>
      <w:r>
        <w:rPr>
          <w:rFonts w:cs="Abz-2 (Badr)" w:hint="cs"/>
          <w:color w:val="000000" w:themeColor="text1"/>
          <w:sz w:val="28"/>
          <w:szCs w:val="28"/>
          <w:rtl/>
          <w:lang w:bidi="fa-IR"/>
        </w:rPr>
        <w:t>ّ</w:t>
      </w:r>
      <w:r w:rsidRPr="00CD6CFA">
        <w:rPr>
          <w:rFonts w:cs="Abz-2 (Badr)"/>
          <w:color w:val="000000" w:themeColor="text1"/>
          <w:sz w:val="28"/>
          <w:szCs w:val="28"/>
          <w:rtl/>
          <w:lang w:bidi="fa-IR"/>
        </w:rPr>
        <w:t>ها حر</w:t>
      </w:r>
      <w:r>
        <w:rPr>
          <w:rFonts w:cs="Abz-2 (Badr)" w:hint="cs"/>
          <w:color w:val="000000" w:themeColor="text1"/>
          <w:sz w:val="28"/>
          <w:szCs w:val="28"/>
          <w:rtl/>
          <w:lang w:bidi="fa-IR"/>
        </w:rPr>
        <w:t>ّ</w:t>
      </w:r>
      <w:r w:rsidRPr="00CD6CFA">
        <w:rPr>
          <w:rFonts w:cs="Abz-2 (Badr)"/>
          <w:color w:val="000000" w:themeColor="text1"/>
          <w:sz w:val="28"/>
          <w:szCs w:val="28"/>
          <w:rtl/>
          <w:lang w:bidi="fa-IR"/>
        </w:rPr>
        <w:t>ة عتقا</w:t>
      </w:r>
      <w:r>
        <w:rPr>
          <w:rFonts w:cs="Abz-2 (Badr)" w:hint="cs"/>
          <w:color w:val="000000" w:themeColor="text1"/>
          <w:sz w:val="28"/>
          <w:szCs w:val="28"/>
          <w:rtl/>
          <w:lang w:bidi="fa-IR"/>
        </w:rPr>
        <w:t>ً</w:t>
      </w:r>
      <w:r w:rsidRPr="00CD6CFA">
        <w:rPr>
          <w:rFonts w:cs="Abz-2 (Badr)"/>
          <w:color w:val="000000" w:themeColor="text1"/>
          <w:sz w:val="28"/>
          <w:szCs w:val="28"/>
          <w:rtl/>
          <w:lang w:bidi="fa-IR"/>
        </w:rPr>
        <w:t xml:space="preserve"> منه لها.</w:t>
      </w:r>
      <w:r>
        <w:rPr>
          <w:rFonts w:cs="Abz-2 (Badr)" w:hint="cs"/>
          <w:color w:val="000000" w:themeColor="text1"/>
          <w:sz w:val="28"/>
          <w:szCs w:val="28"/>
          <w:rtl/>
          <w:lang w:bidi="fa-IR"/>
        </w:rPr>
        <w:t>»</w:t>
      </w:r>
      <w:r w:rsidRPr="002D27AB">
        <w:rPr>
          <w:rStyle w:val="FootnoteReference"/>
          <w:rFonts w:cs="Abz-2 (Badr)"/>
          <w:sz w:val="28"/>
          <w:szCs w:val="28"/>
          <w:rtl/>
          <w:lang w:bidi="fa-IR"/>
        </w:rPr>
        <w:footnoteReference w:id="2"/>
      </w:r>
    </w:p>
    <w:p w14:paraId="1D3EA871" w14:textId="77777777" w:rsidR="00451E5F" w:rsidRDefault="00451E5F" w:rsidP="00451E5F">
      <w:pPr>
        <w:widowControl w:val="0"/>
        <w:bidi/>
        <w:spacing w:after="0" w:line="254" w:lineRule="auto"/>
        <w:ind w:firstLine="284"/>
        <w:jc w:val="both"/>
        <w:rPr>
          <w:rFonts w:cs="Abz-2 (Badr)"/>
          <w:color w:val="000000" w:themeColor="text1"/>
          <w:sz w:val="28"/>
          <w:szCs w:val="28"/>
          <w:lang w:bidi="fa-IR"/>
        </w:rPr>
      </w:pPr>
      <w:r>
        <w:rPr>
          <w:rFonts w:cs="Abz-2 (Badr)" w:hint="cs"/>
          <w:color w:val="000000" w:themeColor="text1"/>
          <w:sz w:val="28"/>
          <w:szCs w:val="28"/>
          <w:rtl/>
          <w:lang w:bidi="fa-IR"/>
        </w:rPr>
        <w:t>وقال الشهيد الثاني في المسال</w:t>
      </w:r>
      <w:r>
        <w:rPr>
          <w:rFonts w:cs="Abz-2 (Badr)" w:hint="cs"/>
          <w:color w:val="000000" w:themeColor="text1"/>
          <w:sz w:val="28"/>
          <w:szCs w:val="28"/>
          <w:rtl/>
        </w:rPr>
        <w:t>ك</w:t>
      </w:r>
      <w:r>
        <w:rPr>
          <w:rFonts w:cs="Abz-2 (Badr)" w:hint="cs"/>
          <w:color w:val="000000" w:themeColor="text1"/>
          <w:sz w:val="28"/>
          <w:szCs w:val="28"/>
          <w:rtl/>
          <w:lang w:bidi="fa-IR"/>
        </w:rPr>
        <w:t>: «</w:t>
      </w:r>
      <w:r w:rsidRPr="00CD6CFA">
        <w:rPr>
          <w:rFonts w:cs="Abz-2 (Badr)"/>
          <w:color w:val="000000" w:themeColor="text1"/>
          <w:sz w:val="28"/>
          <w:szCs w:val="28"/>
          <w:rtl/>
          <w:lang w:bidi="fa-IR"/>
        </w:rPr>
        <w:t>إن كان المدلّس المولى، فإن تلفّظ بما يقتضي العتق</w:t>
      </w:r>
      <w:r>
        <w:rPr>
          <w:rFonts w:cs="Abz-2 (Badr)" w:hint="cs"/>
          <w:color w:val="000000" w:themeColor="text1"/>
          <w:sz w:val="28"/>
          <w:szCs w:val="28"/>
          <w:rtl/>
          <w:lang w:bidi="fa-IR"/>
        </w:rPr>
        <w:t xml:space="preserve"> ـ</w:t>
      </w:r>
      <w:r w:rsidRPr="00CD6CFA">
        <w:rPr>
          <w:rFonts w:cs="Abz-2 (Badr)"/>
          <w:color w:val="000000" w:themeColor="text1"/>
          <w:sz w:val="28"/>
          <w:szCs w:val="28"/>
          <w:rtl/>
          <w:lang w:bidi="fa-IR"/>
        </w:rPr>
        <w:t xml:space="preserve"> كقوله: </w:t>
      </w:r>
      <w:r>
        <w:rPr>
          <w:rFonts w:cs="Abz-2 (Badr)" w:hint="cs"/>
          <w:color w:val="000000" w:themeColor="text1"/>
          <w:sz w:val="28"/>
          <w:szCs w:val="28"/>
          <w:rtl/>
          <w:lang w:bidi="fa-IR"/>
        </w:rPr>
        <w:t>«</w:t>
      </w:r>
      <w:r w:rsidRPr="00CD6CFA">
        <w:rPr>
          <w:rFonts w:cs="Abz-2 (Badr)"/>
          <w:color w:val="000000" w:themeColor="text1"/>
          <w:sz w:val="28"/>
          <w:szCs w:val="28"/>
          <w:rtl/>
          <w:lang w:bidi="fa-IR"/>
        </w:rPr>
        <w:t>هي حرّة</w:t>
      </w:r>
      <w:r>
        <w:rPr>
          <w:rFonts w:cs="Abz-2 (Badr)" w:hint="cs"/>
          <w:color w:val="000000" w:themeColor="text1"/>
          <w:sz w:val="28"/>
          <w:szCs w:val="28"/>
          <w:rtl/>
          <w:lang w:bidi="fa-IR"/>
        </w:rPr>
        <w:t>» ـ</w:t>
      </w:r>
      <w:r w:rsidRPr="00CD6CFA">
        <w:rPr>
          <w:rFonts w:cs="Abz-2 (Badr)"/>
          <w:color w:val="000000" w:themeColor="text1"/>
          <w:sz w:val="28"/>
          <w:szCs w:val="28"/>
          <w:rtl/>
          <w:lang w:bidi="fa-IR"/>
        </w:rPr>
        <w:t xml:space="preserve"> حكم عليه </w:t>
      </w:r>
      <w:r w:rsidRPr="00CD6CFA">
        <w:rPr>
          <w:rFonts w:cs="Abz-2 (Badr)"/>
          <w:color w:val="000000" w:themeColor="text1"/>
          <w:sz w:val="28"/>
          <w:szCs w:val="28"/>
          <w:rtl/>
          <w:lang w:bidi="fa-IR"/>
        </w:rPr>
        <w:lastRenderedPageBreak/>
        <w:t>بحرّيتها، سواء جعله إنشاء</w:t>
      </w:r>
      <w:r>
        <w:rPr>
          <w:rFonts w:cs="Abz-2 (Badr)" w:hint="cs"/>
          <w:color w:val="000000" w:themeColor="text1"/>
          <w:sz w:val="28"/>
          <w:szCs w:val="28"/>
          <w:rtl/>
          <w:lang w:bidi="fa-IR"/>
        </w:rPr>
        <w:t>ً</w:t>
      </w:r>
      <w:r w:rsidRPr="00CD6CFA">
        <w:rPr>
          <w:rFonts w:cs="Abz-2 (Badr)"/>
          <w:color w:val="000000" w:themeColor="text1"/>
          <w:sz w:val="28"/>
          <w:szCs w:val="28"/>
          <w:rtl/>
          <w:lang w:bidi="fa-IR"/>
        </w:rPr>
        <w:t xml:space="preserve"> أم إخبارا</w:t>
      </w:r>
      <w:r>
        <w:rPr>
          <w:rFonts w:cs="Abz-2 (Badr)" w:hint="cs"/>
          <w:color w:val="000000" w:themeColor="text1"/>
          <w:sz w:val="28"/>
          <w:szCs w:val="28"/>
          <w:rtl/>
          <w:lang w:bidi="fa-IR"/>
        </w:rPr>
        <w:t>ً</w:t>
      </w:r>
      <w:r w:rsidRPr="00CD6CFA">
        <w:rPr>
          <w:rFonts w:cs="Abz-2 (Badr)"/>
          <w:color w:val="000000" w:themeColor="text1"/>
          <w:sz w:val="28"/>
          <w:szCs w:val="28"/>
          <w:rtl/>
          <w:lang w:bidi="fa-IR"/>
        </w:rPr>
        <w:t>، إعمالا</w:t>
      </w:r>
      <w:r>
        <w:rPr>
          <w:rFonts w:cs="Abz-2 (Badr)" w:hint="cs"/>
          <w:color w:val="000000" w:themeColor="text1"/>
          <w:sz w:val="28"/>
          <w:szCs w:val="28"/>
          <w:rtl/>
          <w:lang w:bidi="fa-IR"/>
        </w:rPr>
        <w:t>ً</w:t>
      </w:r>
      <w:r w:rsidRPr="00CD6CFA">
        <w:rPr>
          <w:rFonts w:cs="Abz-2 (Badr)"/>
          <w:color w:val="000000" w:themeColor="text1"/>
          <w:sz w:val="28"/>
          <w:szCs w:val="28"/>
          <w:rtl/>
          <w:lang w:bidi="fa-IR"/>
        </w:rPr>
        <w:t xml:space="preserve"> للسبب بحسب مقتضاه.</w:t>
      </w:r>
      <w:r>
        <w:rPr>
          <w:rFonts w:cs="Abz-2 (Badr)" w:hint="cs"/>
          <w:color w:val="000000" w:themeColor="text1"/>
          <w:sz w:val="28"/>
          <w:szCs w:val="28"/>
          <w:rtl/>
          <w:lang w:bidi="fa-IR"/>
        </w:rPr>
        <w:t xml:space="preserve"> </w:t>
      </w:r>
      <w:r w:rsidRPr="00CD6CFA">
        <w:rPr>
          <w:rFonts w:cs="Abz-2 (Badr)"/>
          <w:color w:val="000000" w:themeColor="text1"/>
          <w:sz w:val="28"/>
          <w:szCs w:val="28"/>
          <w:rtl/>
          <w:lang w:bidi="fa-IR"/>
        </w:rPr>
        <w:t>وحينئذ</w:t>
      </w:r>
      <w:r>
        <w:rPr>
          <w:rFonts w:cs="Abz-2 (Badr)" w:hint="cs"/>
          <w:color w:val="000000" w:themeColor="text1"/>
          <w:sz w:val="28"/>
          <w:szCs w:val="28"/>
          <w:rtl/>
          <w:lang w:bidi="fa-IR"/>
        </w:rPr>
        <w:t>ٍ</w:t>
      </w:r>
      <w:r w:rsidRPr="00CD6CFA">
        <w:rPr>
          <w:rFonts w:cs="Abz-2 (Badr)"/>
          <w:color w:val="000000" w:themeColor="text1"/>
          <w:sz w:val="28"/>
          <w:szCs w:val="28"/>
          <w:rtl/>
          <w:lang w:bidi="fa-IR"/>
        </w:rPr>
        <w:t xml:space="preserve"> فيصحّ‌ العقد ويكون المهر لها دون السيّد.</w:t>
      </w:r>
      <w:r>
        <w:rPr>
          <w:rFonts w:cs="Abz-2 (Badr)" w:hint="cs"/>
          <w:color w:val="000000" w:themeColor="text1"/>
          <w:sz w:val="28"/>
          <w:szCs w:val="28"/>
          <w:rtl/>
          <w:lang w:bidi="fa-IR"/>
        </w:rPr>
        <w:t>.</w:t>
      </w:r>
      <w:r w:rsidRPr="00CD6CFA">
        <w:rPr>
          <w:rFonts w:cs="Abz-2 (Badr)"/>
          <w:color w:val="000000" w:themeColor="text1"/>
          <w:sz w:val="28"/>
          <w:szCs w:val="28"/>
          <w:rtl/>
          <w:lang w:bidi="fa-IR"/>
        </w:rPr>
        <w:t>. وإن لم يتلفّظ بما يقتضي العتق بل تكلّم بكلام يحتمل الحرّي</w:t>
      </w:r>
      <w:r>
        <w:rPr>
          <w:rFonts w:cs="Abz-2 (Badr)" w:hint="cs"/>
          <w:color w:val="000000" w:themeColor="text1"/>
          <w:sz w:val="28"/>
          <w:szCs w:val="28"/>
          <w:rtl/>
          <w:lang w:bidi="fa-IR"/>
        </w:rPr>
        <w:t>ّ</w:t>
      </w:r>
      <w:r w:rsidRPr="00CD6CFA">
        <w:rPr>
          <w:rFonts w:cs="Abz-2 (Badr)"/>
          <w:color w:val="000000" w:themeColor="text1"/>
          <w:sz w:val="28"/>
          <w:szCs w:val="28"/>
          <w:rtl/>
          <w:lang w:bidi="fa-IR"/>
        </w:rPr>
        <w:t>ة وغيرها ففهم الزوج منه الحرّية ونحو ذلك، فلا شيء للسيّد ولا لها، لأن</w:t>
      </w:r>
      <w:r>
        <w:rPr>
          <w:rFonts w:cs="Abz-2 (Badr)" w:hint="cs"/>
          <w:color w:val="000000" w:themeColor="text1"/>
          <w:sz w:val="28"/>
          <w:szCs w:val="28"/>
          <w:rtl/>
          <w:lang w:bidi="fa-IR"/>
        </w:rPr>
        <w:t>ّ</w:t>
      </w:r>
      <w:r w:rsidRPr="00CD6CFA">
        <w:rPr>
          <w:rFonts w:cs="Abz-2 (Badr)"/>
          <w:color w:val="000000" w:themeColor="text1"/>
          <w:sz w:val="28"/>
          <w:szCs w:val="28"/>
          <w:rtl/>
          <w:lang w:bidi="fa-IR"/>
        </w:rPr>
        <w:t xml:space="preserve"> الزوج يرجع به على تقدير الغرور على المدلّس، ولا وجه لغرامته له ثمّ الرجوع عليه به.</w:t>
      </w:r>
      <w:r>
        <w:rPr>
          <w:rFonts w:cs="Abz-2 (Badr)" w:hint="cs"/>
          <w:color w:val="000000" w:themeColor="text1"/>
          <w:sz w:val="28"/>
          <w:szCs w:val="28"/>
          <w:rtl/>
          <w:lang w:bidi="fa-IR"/>
        </w:rPr>
        <w:t>»</w:t>
      </w:r>
      <w:r w:rsidRPr="002D27AB">
        <w:rPr>
          <w:rStyle w:val="FootnoteReference"/>
          <w:rFonts w:cs="Abz-2 (Badr)"/>
          <w:sz w:val="28"/>
          <w:szCs w:val="28"/>
          <w:rtl/>
          <w:lang w:bidi="fa-IR"/>
        </w:rPr>
        <w:footnoteReference w:id="3"/>
      </w:r>
    </w:p>
    <w:bookmarkEnd w:id="0"/>
    <w:bookmarkEnd w:id="1"/>
    <w:sectPr w:rsidR="00451E5F">
      <w:footerReference w:type="default" r:id="rId7"/>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A2CA3" w14:textId="77777777" w:rsidR="00F71127" w:rsidRDefault="00F71127" w:rsidP="00F71127">
      <w:pPr>
        <w:spacing w:after="0" w:line="240" w:lineRule="auto"/>
      </w:pPr>
      <w:r>
        <w:separator/>
      </w:r>
    </w:p>
  </w:endnote>
  <w:endnote w:type="continuationSeparator" w:id="0">
    <w:p w14:paraId="49F2F136" w14:textId="77777777" w:rsidR="00F71127" w:rsidRDefault="00F7112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61F53" w14:textId="77777777" w:rsidR="00F71127" w:rsidRDefault="00F71127" w:rsidP="00EE25C0">
      <w:pPr>
        <w:bidi/>
        <w:spacing w:after="0" w:line="240" w:lineRule="auto"/>
      </w:pPr>
      <w:r>
        <w:separator/>
      </w:r>
    </w:p>
  </w:footnote>
  <w:footnote w:type="continuationSeparator" w:id="0">
    <w:p w14:paraId="2C11652C" w14:textId="77777777" w:rsidR="00F71127" w:rsidRDefault="00F71127" w:rsidP="00F71127">
      <w:pPr>
        <w:bidi/>
        <w:spacing w:after="0" w:line="240" w:lineRule="auto"/>
      </w:pPr>
      <w:r>
        <w:continuationSeparator/>
      </w:r>
    </w:p>
  </w:footnote>
  <w:footnote w:id="1">
    <w:p w14:paraId="07D0AAFB" w14:textId="77777777" w:rsidR="00451E5F" w:rsidRPr="002D27AB" w:rsidRDefault="00451E5F" w:rsidP="00451E5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کافی،ج5،ص407،ح9 ـ وسائل،ج21،ص217 و 218،ح26934.</w:t>
      </w:r>
    </w:p>
  </w:footnote>
  <w:footnote w:id="2">
    <w:p w14:paraId="6B3C0DF0" w14:textId="77777777" w:rsidR="00451E5F" w:rsidRPr="002D27AB" w:rsidRDefault="00451E5F" w:rsidP="00451E5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مبسوط،ج4،ص254.</w:t>
      </w:r>
    </w:p>
  </w:footnote>
  <w:footnote w:id="3">
    <w:p w14:paraId="79EF9736" w14:textId="77777777" w:rsidR="00451E5F" w:rsidRPr="002D27AB" w:rsidRDefault="00451E5F" w:rsidP="00451E5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مسالك،ج8،ص142.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577BF"/>
    <w:rsid w:val="0007062A"/>
    <w:rsid w:val="00084447"/>
    <w:rsid w:val="000879BF"/>
    <w:rsid w:val="0009649A"/>
    <w:rsid w:val="000B64A7"/>
    <w:rsid w:val="000C4957"/>
    <w:rsid w:val="000D0B46"/>
    <w:rsid w:val="000E1CDA"/>
    <w:rsid w:val="000E2156"/>
    <w:rsid w:val="000F2E50"/>
    <w:rsid w:val="00101B80"/>
    <w:rsid w:val="001050A2"/>
    <w:rsid w:val="001420FB"/>
    <w:rsid w:val="00145844"/>
    <w:rsid w:val="00150806"/>
    <w:rsid w:val="0015228E"/>
    <w:rsid w:val="001922E4"/>
    <w:rsid w:val="001B2ADB"/>
    <w:rsid w:val="001D1305"/>
    <w:rsid w:val="001D4A4D"/>
    <w:rsid w:val="002133D5"/>
    <w:rsid w:val="0021414D"/>
    <w:rsid w:val="002829CF"/>
    <w:rsid w:val="00295DC1"/>
    <w:rsid w:val="0029688A"/>
    <w:rsid w:val="002A09CF"/>
    <w:rsid w:val="002A6FA3"/>
    <w:rsid w:val="002C7D85"/>
    <w:rsid w:val="002D27AB"/>
    <w:rsid w:val="002E0246"/>
    <w:rsid w:val="00324BF0"/>
    <w:rsid w:val="00330590"/>
    <w:rsid w:val="00331A5F"/>
    <w:rsid w:val="00335969"/>
    <w:rsid w:val="003361EF"/>
    <w:rsid w:val="003A1222"/>
    <w:rsid w:val="003A199D"/>
    <w:rsid w:val="003C6DBC"/>
    <w:rsid w:val="003E2132"/>
    <w:rsid w:val="003F4526"/>
    <w:rsid w:val="00451E5F"/>
    <w:rsid w:val="00487869"/>
    <w:rsid w:val="004B5767"/>
    <w:rsid w:val="004F446D"/>
    <w:rsid w:val="00521235"/>
    <w:rsid w:val="005327C7"/>
    <w:rsid w:val="005532E0"/>
    <w:rsid w:val="005751F1"/>
    <w:rsid w:val="005B6905"/>
    <w:rsid w:val="0060689C"/>
    <w:rsid w:val="00621F9A"/>
    <w:rsid w:val="00625979"/>
    <w:rsid w:val="00690AFD"/>
    <w:rsid w:val="006A4420"/>
    <w:rsid w:val="006B2F35"/>
    <w:rsid w:val="006C580F"/>
    <w:rsid w:val="006F1A47"/>
    <w:rsid w:val="0070259D"/>
    <w:rsid w:val="00703021"/>
    <w:rsid w:val="00706DD2"/>
    <w:rsid w:val="00731C05"/>
    <w:rsid w:val="007374CF"/>
    <w:rsid w:val="00750FB1"/>
    <w:rsid w:val="00761208"/>
    <w:rsid w:val="007B47B9"/>
    <w:rsid w:val="00814C68"/>
    <w:rsid w:val="00875CD7"/>
    <w:rsid w:val="008869B4"/>
    <w:rsid w:val="008C3DDD"/>
    <w:rsid w:val="008D1155"/>
    <w:rsid w:val="008D55B7"/>
    <w:rsid w:val="008F3842"/>
    <w:rsid w:val="00901208"/>
    <w:rsid w:val="00920965"/>
    <w:rsid w:val="009251BE"/>
    <w:rsid w:val="00934ECC"/>
    <w:rsid w:val="009364C3"/>
    <w:rsid w:val="00940232"/>
    <w:rsid w:val="00940DC9"/>
    <w:rsid w:val="00943CA6"/>
    <w:rsid w:val="00976371"/>
    <w:rsid w:val="009A3CA7"/>
    <w:rsid w:val="009B0C6F"/>
    <w:rsid w:val="009C1C9D"/>
    <w:rsid w:val="009D42F6"/>
    <w:rsid w:val="009E2B08"/>
    <w:rsid w:val="00A1285F"/>
    <w:rsid w:val="00A17467"/>
    <w:rsid w:val="00A17781"/>
    <w:rsid w:val="00A62A68"/>
    <w:rsid w:val="00A75FB0"/>
    <w:rsid w:val="00A840BC"/>
    <w:rsid w:val="00A96A24"/>
    <w:rsid w:val="00AB148E"/>
    <w:rsid w:val="00B33F90"/>
    <w:rsid w:val="00B651F0"/>
    <w:rsid w:val="00B74659"/>
    <w:rsid w:val="00BB28BF"/>
    <w:rsid w:val="00BD6EF3"/>
    <w:rsid w:val="00BE6672"/>
    <w:rsid w:val="00BF5AD9"/>
    <w:rsid w:val="00C004FA"/>
    <w:rsid w:val="00C01832"/>
    <w:rsid w:val="00C05C27"/>
    <w:rsid w:val="00C1047A"/>
    <w:rsid w:val="00C129A8"/>
    <w:rsid w:val="00C23C75"/>
    <w:rsid w:val="00C6529A"/>
    <w:rsid w:val="00C8378C"/>
    <w:rsid w:val="00C9359C"/>
    <w:rsid w:val="00C9572F"/>
    <w:rsid w:val="00CA0BC4"/>
    <w:rsid w:val="00CC241E"/>
    <w:rsid w:val="00CC2540"/>
    <w:rsid w:val="00CD08A2"/>
    <w:rsid w:val="00CD52E6"/>
    <w:rsid w:val="00D20C84"/>
    <w:rsid w:val="00D22A70"/>
    <w:rsid w:val="00D663C8"/>
    <w:rsid w:val="00D81BE3"/>
    <w:rsid w:val="00D94EC6"/>
    <w:rsid w:val="00D97411"/>
    <w:rsid w:val="00DC37E2"/>
    <w:rsid w:val="00E01FDF"/>
    <w:rsid w:val="00E214D7"/>
    <w:rsid w:val="00E2487C"/>
    <w:rsid w:val="00E55342"/>
    <w:rsid w:val="00E6533A"/>
    <w:rsid w:val="00E749D3"/>
    <w:rsid w:val="00E77A81"/>
    <w:rsid w:val="00ED3BC0"/>
    <w:rsid w:val="00ED7F5C"/>
    <w:rsid w:val="00EE25C0"/>
    <w:rsid w:val="00F03C99"/>
    <w:rsid w:val="00F46AE2"/>
    <w:rsid w:val="00F46E3E"/>
    <w:rsid w:val="00F5720C"/>
    <w:rsid w:val="00F654C8"/>
    <w:rsid w:val="00F71127"/>
    <w:rsid w:val="00FC64C4"/>
    <w:rsid w:val="00FE120F"/>
    <w:rsid w:val="00FF55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FF884"/>
  <w15:chartTrackingRefBased/>
  <w15:docId w15:val="{48489C64-85C9-42DB-A4D9-603EA0B1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2026442205">
          <w:marLeft w:val="0"/>
          <w:marRight w:val="0"/>
          <w:marTop w:val="0"/>
          <w:marBottom w:val="0"/>
          <w:divBdr>
            <w:top w:val="none" w:sz="0" w:space="0" w:color="auto"/>
            <w:left w:val="none" w:sz="0" w:space="0" w:color="auto"/>
            <w:bottom w:val="none" w:sz="0" w:space="0" w:color="auto"/>
            <w:right w:val="none" w:sz="0" w:space="0" w:color="auto"/>
          </w:divBdr>
        </w:div>
        <w:div w:id="1711566072">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3</Pages>
  <Words>674</Words>
  <Characters>3848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 Mousavi</cp:lastModifiedBy>
  <cp:revision>58</cp:revision>
  <cp:lastPrinted>2022-10-28T15:24:00Z</cp:lastPrinted>
  <dcterms:created xsi:type="dcterms:W3CDTF">2022-10-16T08:36:00Z</dcterms:created>
  <dcterms:modified xsi:type="dcterms:W3CDTF">2022-10-30T07:18:00Z</dcterms:modified>
</cp:coreProperties>
</file>