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09E5291"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4F446D">
        <w:rPr>
          <w:rFonts w:cs="B Mitra" w:hint="cs"/>
          <w:b/>
          <w:bCs/>
          <w:sz w:val="32"/>
          <w:szCs w:val="32"/>
          <w:rtl/>
          <w:lang w:bidi="fa-IR"/>
        </w:rPr>
        <w:t>4</w:t>
      </w:r>
    </w:p>
    <w:p w14:paraId="1E1ED35F" w14:textId="77777777" w:rsidR="00CC2540" w:rsidRDefault="00CC2540" w:rsidP="00CC2540">
      <w:pPr>
        <w:widowControl w:val="0"/>
        <w:bidi/>
        <w:spacing w:after="0" w:line="250" w:lineRule="auto"/>
        <w:ind w:firstLine="284"/>
        <w:jc w:val="both"/>
        <w:rPr>
          <w:rFonts w:cs="Abz-2 (Badr)"/>
          <w:color w:val="000000" w:themeColor="text1"/>
          <w:sz w:val="28"/>
          <w:szCs w:val="28"/>
          <w:rtl/>
          <w:lang w:bidi="fa-IR"/>
        </w:rPr>
      </w:pPr>
      <w:bookmarkStart w:id="0" w:name="_Hlk117452648"/>
      <w:bookmarkStart w:id="1" w:name="_Hlk117414211"/>
      <w:r>
        <w:rPr>
          <w:rFonts w:cs="Abz-2 (Badr)" w:hint="cs"/>
          <w:color w:val="000000" w:themeColor="text1"/>
          <w:sz w:val="28"/>
          <w:szCs w:val="28"/>
          <w:rtl/>
          <w:lang w:bidi="fa-IR"/>
        </w:rPr>
        <w:t>4 ـ اگر مغرور به واسطه غرور مال غير را اتلاف نمود، معلوم است که خسارتی که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غار برای دريافت آن مراجعه کند، به مقدار بدلی است که به صاحب مال پرداخته است.</w:t>
      </w:r>
    </w:p>
    <w:p w14:paraId="1F9FB735" w14:textId="77777777" w:rsidR="00CC2540" w:rsidRDefault="00CC2540" w:rsidP="00CC2540">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بجز آن خسارات ديگری که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غرور مستند شود، اموری است که در نزد عرف به عنوان خسارت مد نظر واقع می</w:t>
      </w:r>
      <w:r>
        <w:rPr>
          <w:rFonts w:cs="Abz-2 (Badr)"/>
          <w:color w:val="000000" w:themeColor="text1"/>
          <w:sz w:val="28"/>
          <w:szCs w:val="28"/>
          <w:rtl/>
          <w:lang w:bidi="fa-IR"/>
        </w:rPr>
        <w:softHyphen/>
      </w:r>
      <w:r>
        <w:rPr>
          <w:rFonts w:cs="Abz-2 (Badr)" w:hint="cs"/>
          <w:color w:val="000000" w:themeColor="text1"/>
          <w:sz w:val="28"/>
          <w:szCs w:val="28"/>
          <w:rtl/>
          <w:lang w:bidi="fa-IR"/>
        </w:rPr>
        <w:t>شود و هزينه آنها به جهت شرعی يا عرفی بر مغرور لازم است.</w:t>
      </w:r>
    </w:p>
    <w:p w14:paraId="4D4441F9" w14:textId="77777777" w:rsidR="00CC2540" w:rsidRDefault="00CC2540" w:rsidP="00CC2540">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مثلاً اگر برای دفع بدل مالی که از صاحب مال تلف کرده است، مجبور شود که هزينه مازادی اضافه بر قيمت خود بدل بپردازد به نحوی که طريق عرفی ديگر برای تحصيل بدل وجود نداشته باشد، می</w:t>
      </w:r>
      <w:r>
        <w:rPr>
          <w:rFonts w:cs="Abz-2 (Badr)"/>
          <w:color w:val="000000" w:themeColor="text1"/>
          <w:sz w:val="28"/>
          <w:szCs w:val="28"/>
          <w:rtl/>
          <w:lang w:bidi="fa-IR"/>
        </w:rPr>
        <w:softHyphen/>
      </w:r>
      <w:r>
        <w:rPr>
          <w:rFonts w:cs="Abz-2 (Badr)" w:hint="cs"/>
          <w:color w:val="000000" w:themeColor="text1"/>
          <w:sz w:val="28"/>
          <w:szCs w:val="28"/>
          <w:rtl/>
          <w:lang w:bidi="fa-IR"/>
        </w:rPr>
        <w:t>تواند آن را نيز از غارّ مطالبه نمايد.</w:t>
      </w:r>
    </w:p>
    <w:p w14:paraId="4EA3BF81" w14:textId="56D76055" w:rsidR="00CC2540" w:rsidRDefault="00CC2540" w:rsidP="00CC2540">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يا اگر پس از اين که به واسطه خدعه غارّ، در مال غير به گمان اين که متعلق به اوست تصرف کرد و آن مال عرفاً نيازمند مخارجی بود ـ مثل اين که زمين زراعی را برای اين که آماده برای کشت شود، تسطيح نموده و شخم زده باشد  ـ اين مخارج نيز قابل مطالبه از غارّ است.</w:t>
      </w:r>
    </w:p>
    <w:p w14:paraId="7AF68DBA" w14:textId="77777777" w:rsidR="00CC2540" w:rsidRDefault="00CC2540" w:rsidP="00CC2540">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يا چنانچه برای ازدواج با زنی که به جهت خدعه او را برای ازدواج انتخاب کرده است، مخارجی در حد متعارف برای مراسم عقد و عروسی و خريد ملزومات ازدواج بکند و پس از ازدواج تا قبل از فسخ آن، نفقه زن را بپردازد، همه اين موارد را می</w:t>
      </w:r>
      <w:r>
        <w:rPr>
          <w:rFonts w:cs="Abz-2 (Badr)"/>
          <w:color w:val="000000" w:themeColor="text1"/>
          <w:sz w:val="28"/>
          <w:szCs w:val="28"/>
          <w:rtl/>
          <w:lang w:bidi="fa-IR"/>
        </w:rPr>
        <w:softHyphen/>
      </w:r>
      <w:r>
        <w:rPr>
          <w:rFonts w:cs="Abz-2 (Badr)" w:hint="cs"/>
          <w:color w:val="000000" w:themeColor="text1"/>
          <w:sz w:val="28"/>
          <w:szCs w:val="28"/>
          <w:rtl/>
          <w:lang w:bidi="fa-IR"/>
        </w:rPr>
        <w:t>تواند از غارّ مطالبه کند.</w:t>
      </w:r>
    </w:p>
    <w:p w14:paraId="5FA81EEA" w14:textId="77777777" w:rsidR="00CC2540" w:rsidRDefault="00CC2540" w:rsidP="00CC2540">
      <w:pPr>
        <w:widowControl w:val="0"/>
        <w:bidi/>
        <w:spacing w:after="0" w:line="250"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اگر خسارتی که به مغرور وارد شده است به حسب مورد غير متعارف باشد ـ مثل اين که خانه نوسازی را عمداً تخريب کرده باشد ـ نمی</w:t>
      </w:r>
      <w:r>
        <w:rPr>
          <w:rFonts w:cs="Abz-2 (Badr)"/>
          <w:color w:val="000000" w:themeColor="text1"/>
          <w:sz w:val="28"/>
          <w:szCs w:val="28"/>
          <w:rtl/>
          <w:lang w:bidi="fa-IR"/>
        </w:rPr>
        <w:softHyphen/>
      </w:r>
      <w:r>
        <w:rPr>
          <w:rFonts w:cs="Abz-2 (Badr)" w:hint="cs"/>
          <w:color w:val="000000" w:themeColor="text1"/>
          <w:sz w:val="28"/>
          <w:szCs w:val="28"/>
          <w:rtl/>
          <w:lang w:bidi="fa-IR"/>
        </w:rPr>
        <w:t>تواند آن را از غارّ مطالبه کند، چون خسارت در چنين مواردی استناد عرفی به غرور پيدا نمی</w:t>
      </w:r>
      <w:r>
        <w:rPr>
          <w:rFonts w:cs="Abz-2 (Badr)"/>
          <w:color w:val="000000" w:themeColor="text1"/>
          <w:sz w:val="28"/>
          <w:szCs w:val="28"/>
          <w:rtl/>
          <w:lang w:bidi="fa-IR"/>
        </w:rPr>
        <w:softHyphen/>
      </w:r>
      <w:r>
        <w:rPr>
          <w:rFonts w:cs="Abz-2 (Badr)" w:hint="cs"/>
          <w:color w:val="000000" w:themeColor="text1"/>
          <w:sz w:val="28"/>
          <w:szCs w:val="28"/>
          <w:rtl/>
          <w:lang w:bidi="fa-IR"/>
        </w:rPr>
        <w:t>کند. البته اگر اصل عمل عرفی بوده ولی مقدار خسارت غير عرفی باشد ـ مثل اين که هديه بسيار گرانبهايی که بسيار بيش از شأن زن است به او بدهد و او آن را تلف کرده باشد ـ اخذ خسارت در حد متعارف آن از غارّ امکان</w:t>
      </w:r>
      <w:r>
        <w:rPr>
          <w:rFonts w:cs="Abz-2 (Badr)"/>
          <w:color w:val="000000" w:themeColor="text1"/>
          <w:sz w:val="28"/>
          <w:szCs w:val="28"/>
          <w:rtl/>
          <w:lang w:bidi="fa-IR"/>
        </w:rPr>
        <w:softHyphen/>
      </w:r>
      <w:r>
        <w:rPr>
          <w:rFonts w:cs="Abz-2 (Badr)" w:hint="cs"/>
          <w:color w:val="000000" w:themeColor="text1"/>
          <w:sz w:val="28"/>
          <w:szCs w:val="28"/>
          <w:rtl/>
          <w:lang w:bidi="fa-IR"/>
        </w:rPr>
        <w:t>پذير است اما بيش از آن را نمی</w:t>
      </w:r>
      <w:r>
        <w:rPr>
          <w:rFonts w:cs="Abz-2 (Badr)"/>
          <w:color w:val="000000" w:themeColor="text1"/>
          <w:sz w:val="28"/>
          <w:szCs w:val="28"/>
          <w:rtl/>
          <w:lang w:bidi="fa-IR"/>
        </w:rPr>
        <w:softHyphen/>
      </w:r>
      <w:r>
        <w:rPr>
          <w:rFonts w:cs="Abz-2 (Badr)" w:hint="cs"/>
          <w:color w:val="000000" w:themeColor="text1"/>
          <w:sz w:val="28"/>
          <w:szCs w:val="28"/>
          <w:rtl/>
          <w:lang w:bidi="fa-IR"/>
        </w:rPr>
        <w:t>تواند از وی مطالبه نمايد.</w:t>
      </w:r>
    </w:p>
    <w:p w14:paraId="4FB6EB12" w14:textId="77777777" w:rsidR="00CC2540" w:rsidRDefault="00CC2540" w:rsidP="00CC2540">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5 ـ همان گونه که گذشت، مستفاد از قاعده غرور اين است که کسی که حق مراجعه به غار را دارد، مغرور است و فردی که مال او توسط مغرور اتلاف شده است حق مراجعه مستقيم به غار را ندارد.</w:t>
      </w:r>
    </w:p>
    <w:p w14:paraId="3764F93E" w14:textId="77777777" w:rsidR="00CC2540" w:rsidRDefault="00CC2540" w:rsidP="00CC2540">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مرحوم امام قائل به اين شده</w:t>
      </w:r>
      <w:r>
        <w:rPr>
          <w:rFonts w:cs="Abz-2 (Badr)"/>
          <w:color w:val="000000" w:themeColor="text1"/>
          <w:sz w:val="28"/>
          <w:szCs w:val="28"/>
          <w:rtl/>
          <w:lang w:bidi="fa-IR"/>
        </w:rPr>
        <w:softHyphen/>
      </w:r>
      <w:r>
        <w:rPr>
          <w:rFonts w:cs="Abz-2 (Badr)" w:hint="cs"/>
          <w:color w:val="000000" w:themeColor="text1"/>
          <w:sz w:val="28"/>
          <w:szCs w:val="28"/>
          <w:rtl/>
          <w:lang w:bidi="fa-IR"/>
        </w:rPr>
        <w:t>اند که فردی که مال او توسط مغرور اتلاف شده است، می</w:t>
      </w:r>
      <w:r>
        <w:rPr>
          <w:rFonts w:cs="Abz-2 (Badr)"/>
          <w:color w:val="000000" w:themeColor="text1"/>
          <w:sz w:val="28"/>
          <w:szCs w:val="28"/>
          <w:rtl/>
          <w:lang w:bidi="fa-IR"/>
        </w:rPr>
        <w:softHyphen/>
      </w:r>
      <w:r>
        <w:rPr>
          <w:rFonts w:cs="Abz-2 (Badr)" w:hint="cs"/>
          <w:color w:val="000000" w:themeColor="text1"/>
          <w:sz w:val="28"/>
          <w:szCs w:val="28"/>
          <w:rtl/>
          <w:lang w:bidi="fa-IR"/>
        </w:rPr>
        <w:t>تواند به غار و مغرور در عرض هم رجوع کند و اگر به مغرور رجوع کرد، مغرور حق رجوع به غار را خواهد داشت و در عکس آن حقی برای رجوع غار به مغرور نيست.</w:t>
      </w:r>
    </w:p>
    <w:p w14:paraId="37BA81FC" w14:textId="77777777" w:rsidR="00CC2540" w:rsidRDefault="00CC2540" w:rsidP="00CC2540">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ايشان در استدلال بر اين مدعا روايات را به دو دسته تقسيم کرده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09197ECF" w14:textId="77777777" w:rsidR="00CC2540" w:rsidRDefault="00CC2540" w:rsidP="00CC2540">
      <w:pPr>
        <w:widowControl w:val="0"/>
        <w:bidi/>
        <w:spacing w:after="0" w:line="262" w:lineRule="auto"/>
        <w:ind w:firstLine="284"/>
        <w:jc w:val="both"/>
        <w:rPr>
          <w:rFonts w:cs="Abz-2 (Badr)"/>
          <w:sz w:val="28"/>
          <w:szCs w:val="28"/>
          <w:rtl/>
          <w:lang w:bidi="fa-IR"/>
        </w:rPr>
      </w:pPr>
      <w:r>
        <w:rPr>
          <w:rFonts w:cs="Abz-2 (Badr)" w:hint="cs"/>
          <w:color w:val="000000" w:themeColor="text1"/>
          <w:sz w:val="28"/>
          <w:szCs w:val="28"/>
          <w:rtl/>
          <w:lang w:bidi="fa-IR"/>
        </w:rPr>
        <w:lastRenderedPageBreak/>
        <w:t>1 ـ رواياتی که دلالت بر ثبوت ضمان بر عهده غار از ابتداء می</w:t>
      </w:r>
      <w:r>
        <w:rPr>
          <w:rFonts w:cs="Abz-2 (Badr)"/>
          <w:color w:val="000000" w:themeColor="text1"/>
          <w:sz w:val="28"/>
          <w:szCs w:val="28"/>
          <w:rtl/>
          <w:lang w:bidi="fa-IR"/>
        </w:rPr>
        <w:softHyphen/>
      </w:r>
      <w:r>
        <w:rPr>
          <w:rFonts w:cs="Abz-2 (Badr)" w:hint="cs"/>
          <w:color w:val="000000" w:themeColor="text1"/>
          <w:sz w:val="28"/>
          <w:szCs w:val="28"/>
          <w:rtl/>
          <w:lang w:bidi="fa-IR"/>
        </w:rPr>
        <w:t>کند؛ مثل: معتبره اسماعيل بن جابر که در آن آمده است: «</w:t>
      </w:r>
      <w:r w:rsidRPr="00F32DED">
        <w:rPr>
          <w:rFonts w:cs="Abz-2 (Badr)"/>
          <w:sz w:val="28"/>
          <w:szCs w:val="28"/>
          <w:rtl/>
          <w:lang w:bidi="fa-IR"/>
        </w:rPr>
        <w:t>وعلى الذي زوّجه‌ قيمة‌ ثمن‌ الولد</w:t>
      </w:r>
      <w:r>
        <w:rPr>
          <w:rFonts w:cs="Abz-2 (Badr)" w:hint="cs"/>
          <w:sz w:val="28"/>
          <w:szCs w:val="28"/>
          <w:rtl/>
          <w:lang w:bidi="fa-IR"/>
        </w:rPr>
        <w:t>،</w:t>
      </w:r>
      <w:r w:rsidRPr="00F32DED">
        <w:rPr>
          <w:rFonts w:cs="Abz-2 (Badr)"/>
          <w:sz w:val="28"/>
          <w:szCs w:val="28"/>
          <w:rtl/>
          <w:lang w:bidi="fa-IR"/>
        </w:rPr>
        <w:t xml:space="preserve"> يعطيه‌ موالي‌ الوليدة‌ كما غرّ الرجل‌ وخدعه</w:t>
      </w:r>
      <w:r>
        <w:rPr>
          <w:rFonts w:cs="Abz-2 (Badr)" w:hint="cs"/>
          <w:sz w:val="28"/>
          <w:szCs w:val="28"/>
          <w:rtl/>
          <w:lang w:bidi="fa-IR"/>
        </w:rPr>
        <w:t>»</w:t>
      </w:r>
      <w:r w:rsidRPr="002D27AB">
        <w:rPr>
          <w:rStyle w:val="FootnoteReference"/>
          <w:rFonts w:cs="Abz-2 (Badr)"/>
          <w:sz w:val="28"/>
          <w:szCs w:val="28"/>
          <w:rtl/>
          <w:lang w:bidi="fa-IR"/>
        </w:rPr>
        <w:footnoteReference w:id="1"/>
      </w:r>
      <w:r>
        <w:rPr>
          <w:rFonts w:cs="Abz-2 (Badr)" w:hint="cs"/>
          <w:sz w:val="28"/>
          <w:szCs w:val="28"/>
          <w:rtl/>
          <w:lang w:bidi="fa-IR"/>
        </w:rPr>
        <w:t xml:space="preserve"> و نيز معتبره رفاعة بن موسی که در آن امام(ع) فرموده است: «إ</w:t>
      </w:r>
      <w:r w:rsidRPr="00C63761">
        <w:rPr>
          <w:rFonts w:cs="Abz-2 (Badr)"/>
          <w:sz w:val="28"/>
          <w:szCs w:val="28"/>
          <w:rtl/>
          <w:lang w:bidi="fa-IR"/>
        </w:rPr>
        <w:t>نّ‌ المهر على الذي زوّجها</w:t>
      </w:r>
      <w:r>
        <w:rPr>
          <w:rFonts w:cs="Abz-2 (Badr)" w:hint="cs"/>
          <w:sz w:val="28"/>
          <w:szCs w:val="28"/>
          <w:rtl/>
          <w:lang w:bidi="fa-IR"/>
        </w:rPr>
        <w:t>،</w:t>
      </w:r>
      <w:r w:rsidRPr="00C63761">
        <w:rPr>
          <w:rFonts w:cs="Abz-2 (Badr)"/>
          <w:sz w:val="28"/>
          <w:szCs w:val="28"/>
          <w:rtl/>
          <w:lang w:bidi="fa-IR"/>
        </w:rPr>
        <w:t xml:space="preserve"> وإنّما صار المهر عليه‌ لأنّه‌ دلّسها</w:t>
      </w:r>
      <w:r>
        <w:rPr>
          <w:rFonts w:cs="Abz-2 (Badr)" w:hint="cs"/>
          <w:sz w:val="28"/>
          <w:szCs w:val="28"/>
          <w:rtl/>
          <w:lang w:bidi="fa-IR"/>
        </w:rPr>
        <w:t>»</w:t>
      </w:r>
      <w:r w:rsidRPr="002D27AB">
        <w:rPr>
          <w:rStyle w:val="FootnoteReference"/>
          <w:rFonts w:cs="Abz-2 (Badr)"/>
          <w:sz w:val="28"/>
          <w:szCs w:val="28"/>
          <w:rtl/>
          <w:lang w:bidi="fa-IR"/>
        </w:rPr>
        <w:footnoteReference w:id="2"/>
      </w:r>
      <w:r>
        <w:rPr>
          <w:rFonts w:cs="Abz-2 (Badr)" w:hint="cs"/>
          <w:sz w:val="28"/>
          <w:szCs w:val="28"/>
          <w:rtl/>
          <w:lang w:bidi="fa-IR"/>
        </w:rPr>
        <w:t>.</w:t>
      </w:r>
    </w:p>
    <w:p w14:paraId="32229202" w14:textId="27D17F80" w:rsidR="00CC2540" w:rsidRDefault="00CC2540" w:rsidP="00CC2540">
      <w:pPr>
        <w:widowControl w:val="0"/>
        <w:bidi/>
        <w:spacing w:after="0" w:line="262" w:lineRule="auto"/>
        <w:ind w:firstLine="284"/>
        <w:jc w:val="both"/>
        <w:rPr>
          <w:rFonts w:cs="Abz-2 (Badr)"/>
          <w:sz w:val="28"/>
          <w:szCs w:val="28"/>
          <w:rtl/>
          <w:lang w:bidi="fa-IR"/>
        </w:rPr>
      </w:pPr>
      <w:r>
        <w:rPr>
          <w:rFonts w:cs="Abz-2 (Badr)" w:hint="cs"/>
          <w:sz w:val="28"/>
          <w:szCs w:val="28"/>
          <w:rtl/>
          <w:lang w:bidi="fa-IR"/>
        </w:rPr>
        <w:t xml:space="preserve">2 ـ رواياتی که </w:t>
      </w:r>
      <w:r w:rsidRPr="008127C0">
        <w:rPr>
          <w:rFonts w:cs="Abz-2 (Badr)" w:hint="cs"/>
          <w:color w:val="000000" w:themeColor="text1"/>
          <w:sz w:val="28"/>
          <w:szCs w:val="28"/>
          <w:rtl/>
          <w:lang w:bidi="fa-IR"/>
        </w:rPr>
        <w:t>دلالت</w:t>
      </w:r>
      <w:r>
        <w:rPr>
          <w:rFonts w:cs="Abz-2 (Badr)" w:hint="cs"/>
          <w:sz w:val="28"/>
          <w:szCs w:val="28"/>
          <w:rtl/>
          <w:lang w:bidi="fa-IR"/>
        </w:rPr>
        <w:t xml:space="preserve"> بر ثبوت ضمان بر عهده مغرور و جواز رجوع او به غار بعد از رد بدل می</w:t>
      </w:r>
      <w:r>
        <w:rPr>
          <w:rFonts w:cs="Abz-2 (Badr)"/>
          <w:sz w:val="28"/>
          <w:szCs w:val="28"/>
          <w:rtl/>
          <w:lang w:bidi="fa-IR"/>
        </w:rPr>
        <w:softHyphen/>
      </w:r>
      <w:r>
        <w:rPr>
          <w:rFonts w:cs="Abz-2 (Badr)" w:hint="cs"/>
          <w:sz w:val="28"/>
          <w:szCs w:val="28"/>
          <w:rtl/>
          <w:lang w:bidi="fa-IR"/>
        </w:rPr>
        <w:t xml:space="preserve">کنند؛ مثل: </w:t>
      </w:r>
      <w:r w:rsidR="00C129A8">
        <w:rPr>
          <w:rFonts w:cs="Abz-2 (Badr)" w:hint="cs"/>
          <w:sz w:val="28"/>
          <w:szCs w:val="28"/>
          <w:rtl/>
          <w:lang w:bidi="fa-IR"/>
        </w:rPr>
        <w:t>موثّقه</w:t>
      </w:r>
      <w:r>
        <w:rPr>
          <w:rFonts w:cs="Abz-2 (Badr)" w:hint="cs"/>
          <w:sz w:val="28"/>
          <w:szCs w:val="28"/>
          <w:rtl/>
          <w:lang w:bidi="fa-IR"/>
        </w:rPr>
        <w:t xml:space="preserve"> جميل بن دراج از أبي عبدالله(ع): «</w:t>
      </w:r>
      <w:r w:rsidRPr="00E46509">
        <w:rPr>
          <w:rFonts w:cs="Abz-2 (Badr)"/>
          <w:sz w:val="28"/>
          <w:szCs w:val="28"/>
          <w:rtl/>
          <w:lang w:bidi="fa-IR"/>
        </w:rPr>
        <w:t>في الرجل‌ يشتري الجارية‌ من‌ السوق‌ فيولدها ثمّ‌ يجيء‌ مستحقّ‌ الجارية‌</w:t>
      </w:r>
      <w:r>
        <w:rPr>
          <w:rFonts w:cs="Abz-2 (Badr)" w:hint="cs"/>
          <w:sz w:val="28"/>
          <w:szCs w:val="28"/>
          <w:rtl/>
          <w:lang w:bidi="fa-IR"/>
        </w:rPr>
        <w:t>.</w:t>
      </w:r>
      <w:r w:rsidRPr="00E46509">
        <w:rPr>
          <w:rFonts w:cs="Abz-2 (Badr)"/>
          <w:sz w:val="28"/>
          <w:szCs w:val="28"/>
          <w:rtl/>
          <w:lang w:bidi="fa-IR"/>
        </w:rPr>
        <w:t xml:space="preserve"> فقال‌</w:t>
      </w:r>
      <w:r>
        <w:rPr>
          <w:rFonts w:cs="Abz-2 (Badr)" w:hint="cs"/>
          <w:sz w:val="28"/>
          <w:szCs w:val="28"/>
          <w:rtl/>
          <w:lang w:bidi="fa-IR"/>
        </w:rPr>
        <w:t xml:space="preserve">: </w:t>
      </w:r>
      <w:r w:rsidRPr="00E46509">
        <w:rPr>
          <w:rFonts w:cs="Abz-2 (Badr)"/>
          <w:sz w:val="28"/>
          <w:szCs w:val="28"/>
          <w:rtl/>
          <w:lang w:bidi="fa-IR"/>
        </w:rPr>
        <w:t>يأخذ الجارية‌ المستحقّ‌ ويدفع‌ إليه‌ المبتاع‌ قيمة‌ الولد ويرجع‌ على من‌ باعه‌ بثمن‌ الجارية‌ وقيمة‌ الولد التي أ</w:t>
      </w:r>
      <w:r>
        <w:rPr>
          <w:rFonts w:cs="Abz-2 (Badr)" w:hint="cs"/>
          <w:sz w:val="28"/>
          <w:szCs w:val="28"/>
          <w:rtl/>
          <w:lang w:bidi="fa-IR"/>
        </w:rPr>
        <w:t>ُ</w:t>
      </w:r>
      <w:r w:rsidRPr="00E46509">
        <w:rPr>
          <w:rFonts w:cs="Abz-2 (Badr)"/>
          <w:sz w:val="28"/>
          <w:szCs w:val="28"/>
          <w:rtl/>
          <w:lang w:bidi="fa-IR"/>
        </w:rPr>
        <w:t>خذت‌ منه</w:t>
      </w:r>
      <w:r>
        <w:rPr>
          <w:rFonts w:cs="Abz-2 (Badr)" w:hint="cs"/>
          <w:sz w:val="28"/>
          <w:szCs w:val="28"/>
          <w:rtl/>
          <w:lang w:bidi="fa-IR"/>
        </w:rPr>
        <w:t>.»</w:t>
      </w:r>
      <w:r w:rsidRPr="002D27AB">
        <w:rPr>
          <w:rStyle w:val="FootnoteReference"/>
          <w:rFonts w:cs="Abz-2 (Badr)"/>
          <w:sz w:val="28"/>
          <w:szCs w:val="28"/>
          <w:rtl/>
          <w:lang w:bidi="fa-IR"/>
        </w:rPr>
        <w:footnoteReference w:id="3"/>
      </w:r>
      <w:r>
        <w:rPr>
          <w:rFonts w:cs="Abz-2 (Badr)" w:hint="cs"/>
          <w:sz w:val="28"/>
          <w:szCs w:val="28"/>
          <w:rtl/>
          <w:lang w:bidi="fa-IR"/>
        </w:rPr>
        <w:t xml:space="preserve"> و </w:t>
      </w:r>
      <w:r>
        <w:rPr>
          <w:rFonts w:cs="Abz-2 (Badr)" w:hint="cs"/>
          <w:color w:val="000000" w:themeColor="text1"/>
          <w:sz w:val="28"/>
          <w:szCs w:val="28"/>
          <w:rtl/>
          <w:lang w:bidi="fa-IR"/>
        </w:rPr>
        <w:t xml:space="preserve">حسنه يا موثّقه </w:t>
      </w:r>
      <w:r w:rsidRPr="00183618">
        <w:rPr>
          <w:rFonts w:cs="Abz-2 (Badr)"/>
          <w:sz w:val="28"/>
          <w:szCs w:val="28"/>
          <w:rtl/>
          <w:lang w:bidi="fa-IR"/>
        </w:rPr>
        <w:t xml:space="preserve">إبراهيم‌ بن‌ عبد الحميد </w:t>
      </w:r>
      <w:r>
        <w:rPr>
          <w:rFonts w:cs="Abz-2 (Badr)" w:hint="cs"/>
          <w:sz w:val="28"/>
          <w:szCs w:val="28"/>
          <w:rtl/>
          <w:lang w:bidi="fa-IR"/>
        </w:rPr>
        <w:t>از</w:t>
      </w:r>
      <w:r w:rsidRPr="00183618">
        <w:rPr>
          <w:rFonts w:cs="Abz-2 (Badr)"/>
          <w:sz w:val="28"/>
          <w:szCs w:val="28"/>
          <w:rtl/>
          <w:lang w:bidi="fa-IR"/>
        </w:rPr>
        <w:t>‌ أبي عبدالله</w:t>
      </w:r>
      <w:r>
        <w:rPr>
          <w:rFonts w:cs="Abz-2 (Badr)" w:hint="cs"/>
          <w:sz w:val="28"/>
          <w:szCs w:val="28"/>
          <w:rtl/>
          <w:lang w:bidi="fa-IR"/>
        </w:rPr>
        <w:t>(ع)</w:t>
      </w:r>
      <w:r w:rsidRPr="00183618">
        <w:rPr>
          <w:rFonts w:cs="Abz-2 (Badr)"/>
          <w:sz w:val="28"/>
          <w:szCs w:val="28"/>
          <w:rtl/>
          <w:lang w:bidi="fa-IR"/>
        </w:rPr>
        <w:t xml:space="preserve">: </w:t>
      </w:r>
      <w:r>
        <w:rPr>
          <w:rFonts w:cs="Abz-2 (Badr)" w:hint="cs"/>
          <w:sz w:val="28"/>
          <w:szCs w:val="28"/>
          <w:rtl/>
          <w:lang w:bidi="fa-IR"/>
        </w:rPr>
        <w:t>«</w:t>
      </w:r>
      <w:r w:rsidRPr="00183618">
        <w:rPr>
          <w:rFonts w:cs="Abz-2 (Badr)"/>
          <w:sz w:val="28"/>
          <w:szCs w:val="28"/>
          <w:rtl/>
          <w:lang w:bidi="fa-IR"/>
        </w:rPr>
        <w:t>في شاهدين‌ شهدا على امرأة‌ بأنّ‌ زوجها طلّقها فتزوّجت‌ ثمّ‌ جاء‌ زوجها فأنكر الطلاق</w:t>
      </w:r>
      <w:r>
        <w:rPr>
          <w:rFonts w:cs="Abz-2 (Badr)" w:hint="cs"/>
          <w:sz w:val="28"/>
          <w:szCs w:val="28"/>
          <w:rtl/>
          <w:lang w:bidi="fa-IR"/>
        </w:rPr>
        <w:t>.</w:t>
      </w:r>
      <w:r w:rsidRPr="00183618">
        <w:rPr>
          <w:rFonts w:cs="Abz-2 (Badr)"/>
          <w:sz w:val="28"/>
          <w:szCs w:val="28"/>
          <w:rtl/>
          <w:lang w:bidi="fa-IR"/>
        </w:rPr>
        <w:t>‌ قال</w:t>
      </w:r>
      <w:r>
        <w:rPr>
          <w:rFonts w:cs="Abz-2 (Badr)" w:hint="cs"/>
          <w:sz w:val="28"/>
          <w:szCs w:val="28"/>
          <w:rtl/>
          <w:lang w:bidi="fa-IR"/>
        </w:rPr>
        <w:t>:</w:t>
      </w:r>
      <w:r w:rsidRPr="00183618">
        <w:rPr>
          <w:rFonts w:cs="Abz-2 (Badr)"/>
          <w:sz w:val="28"/>
          <w:szCs w:val="28"/>
          <w:rtl/>
          <w:lang w:bidi="fa-IR"/>
        </w:rPr>
        <w:t>‌ يضربان‌ الحدّ ويضمّنان‌ الصداق‌ للزوج</w:t>
      </w:r>
      <w:r>
        <w:rPr>
          <w:rFonts w:cs="Abz-2 (Badr)" w:hint="cs"/>
          <w:sz w:val="28"/>
          <w:szCs w:val="28"/>
          <w:rtl/>
          <w:lang w:bidi="fa-IR"/>
        </w:rPr>
        <w:t>...»</w:t>
      </w:r>
      <w:r w:rsidRPr="002D27AB">
        <w:rPr>
          <w:rStyle w:val="FootnoteReference"/>
          <w:rFonts w:cs="Abz-2 (Badr)"/>
          <w:sz w:val="28"/>
          <w:szCs w:val="28"/>
          <w:rtl/>
          <w:lang w:bidi="fa-IR"/>
        </w:rPr>
        <w:footnoteReference w:id="4"/>
      </w:r>
    </w:p>
    <w:p w14:paraId="73482327" w14:textId="77777777" w:rsidR="00CC2540" w:rsidRPr="00183618" w:rsidRDefault="00CC2540" w:rsidP="00CC2540">
      <w:pPr>
        <w:widowControl w:val="0"/>
        <w:bidi/>
        <w:spacing w:after="0" w:line="262" w:lineRule="auto"/>
        <w:ind w:firstLine="284"/>
        <w:jc w:val="both"/>
        <w:rPr>
          <w:rFonts w:cs="Abz-2 (Badr)"/>
          <w:sz w:val="28"/>
          <w:szCs w:val="28"/>
          <w:rtl/>
          <w:lang w:bidi="fa-IR"/>
        </w:rPr>
      </w:pPr>
      <w:r>
        <w:rPr>
          <w:rFonts w:cs="Abz-2 (Badr)" w:hint="cs"/>
          <w:sz w:val="28"/>
          <w:szCs w:val="28"/>
          <w:rtl/>
          <w:lang w:bidi="fa-IR"/>
        </w:rPr>
        <w:t>سپس در جمع بين آنها می</w:t>
      </w:r>
      <w:r>
        <w:rPr>
          <w:rFonts w:cs="Abz-2 (Badr)"/>
          <w:sz w:val="28"/>
          <w:szCs w:val="28"/>
          <w:rtl/>
          <w:lang w:bidi="fa-IR"/>
        </w:rPr>
        <w:softHyphen/>
      </w:r>
      <w:r>
        <w:rPr>
          <w:rFonts w:cs="Abz-2 (Badr)" w:hint="cs"/>
          <w:sz w:val="28"/>
          <w:szCs w:val="28"/>
          <w:rtl/>
          <w:lang w:bidi="fa-IR"/>
        </w:rPr>
        <w:t>فرمايد: جواز رجوع از ابتدا هم به غار و هم به مغرور وجود دارد و روايات دسته دوم مربوط به موردی هستند که ابتدا به مغرور رجوع شده باشد.</w:t>
      </w:r>
    </w:p>
    <w:p w14:paraId="31797380" w14:textId="77777777" w:rsidR="00CC2540" w:rsidRPr="00807444" w:rsidRDefault="00CC2540" w:rsidP="00CC2540">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در ادامه می</w:t>
      </w:r>
      <w:r>
        <w:rPr>
          <w:rFonts w:cs="Abz-2 (Badr)"/>
          <w:color w:val="000000" w:themeColor="text1"/>
          <w:sz w:val="28"/>
          <w:szCs w:val="28"/>
          <w:rtl/>
          <w:lang w:bidi="fa-IR"/>
        </w:rPr>
        <w:softHyphen/>
      </w:r>
      <w:r>
        <w:rPr>
          <w:rFonts w:cs="Abz-2 (Badr)" w:hint="cs"/>
          <w:color w:val="000000" w:themeColor="text1"/>
          <w:sz w:val="28"/>
          <w:szCs w:val="28"/>
          <w:rtl/>
          <w:lang w:bidi="fa-IR"/>
        </w:rPr>
        <w:t>فرمايند: «</w:t>
      </w:r>
      <w:r w:rsidRPr="00807444">
        <w:rPr>
          <w:rFonts w:cs="Abz-2 (Badr)"/>
          <w:color w:val="000000" w:themeColor="text1"/>
          <w:sz w:val="28"/>
          <w:szCs w:val="28"/>
          <w:rtl/>
          <w:lang w:bidi="fa-IR"/>
        </w:rPr>
        <w:t>وبما ذكر يظهر أنّه لو أبرأ المضمون له المغرور المتلف، ليس له الرجوع إلى الغارّ، فلو أبرأت المرأة الزوج من المهر، ليس لها الرجوع به إلى الغارّ</w:t>
      </w:r>
      <w:r>
        <w:rPr>
          <w:rFonts w:cs="Abz-2 (Badr)" w:hint="cs"/>
          <w:color w:val="000000" w:themeColor="text1"/>
          <w:sz w:val="28"/>
          <w:szCs w:val="28"/>
          <w:rtl/>
          <w:lang w:bidi="fa-IR"/>
        </w:rPr>
        <w:t>،</w:t>
      </w:r>
      <w:r w:rsidRPr="00807444">
        <w:rPr>
          <w:rFonts w:cs="Abz-2 (Badr)"/>
          <w:color w:val="000000" w:themeColor="text1"/>
          <w:sz w:val="28"/>
          <w:szCs w:val="28"/>
          <w:rtl/>
          <w:lang w:bidi="fa-IR"/>
        </w:rPr>
        <w:t xml:space="preserve"> لأنّ‌ الضمان كان عنه.</w:t>
      </w:r>
    </w:p>
    <w:p w14:paraId="1B50B15F" w14:textId="77777777" w:rsidR="00CC2540" w:rsidRPr="00807444" w:rsidRDefault="00CC2540" w:rsidP="00CC2540">
      <w:pPr>
        <w:widowControl w:val="0"/>
        <w:bidi/>
        <w:spacing w:after="0" w:line="262" w:lineRule="auto"/>
        <w:ind w:firstLine="284"/>
        <w:jc w:val="both"/>
        <w:rPr>
          <w:rFonts w:cs="Abz-2 (Badr)"/>
          <w:color w:val="000000" w:themeColor="text1"/>
          <w:sz w:val="28"/>
          <w:szCs w:val="28"/>
          <w:rtl/>
          <w:lang w:bidi="fa-IR"/>
        </w:rPr>
      </w:pPr>
      <w:r w:rsidRPr="00807444">
        <w:rPr>
          <w:rFonts w:cs="Abz-2 (Badr)"/>
          <w:color w:val="000000" w:themeColor="text1"/>
          <w:sz w:val="28"/>
          <w:szCs w:val="28"/>
          <w:rtl/>
          <w:lang w:bidi="fa-IR"/>
        </w:rPr>
        <w:t xml:space="preserve">وبعبارة </w:t>
      </w:r>
      <w:r>
        <w:rPr>
          <w:rFonts w:cs="Abz-2 (Badr)" w:hint="cs"/>
          <w:color w:val="000000" w:themeColor="text1"/>
          <w:sz w:val="28"/>
          <w:szCs w:val="28"/>
          <w:rtl/>
          <w:lang w:bidi="fa-IR"/>
        </w:rPr>
        <w:t>أُ</w:t>
      </w:r>
      <w:r w:rsidRPr="00807444">
        <w:rPr>
          <w:rFonts w:cs="Abz-2 (Badr)"/>
          <w:color w:val="000000" w:themeColor="text1"/>
          <w:sz w:val="28"/>
          <w:szCs w:val="28"/>
          <w:rtl/>
          <w:lang w:bidi="fa-IR"/>
        </w:rPr>
        <w:t>خرى إنّ‌ الزوج ضامن للزوجة والغارّ ضامن لها عن الزوج؛ أي ضامن لها ما هو ضامن لها، فعليه ضمان ما هو ضامن، فإذا سقط ضمان الزوج سقط ضمانه، نظير الضمان بمعنى ضمّ‌ ذمّة إلى ذمّة بوجه.</w:t>
      </w:r>
    </w:p>
    <w:p w14:paraId="01B14203" w14:textId="77777777" w:rsidR="00CC2540" w:rsidRDefault="00CC2540" w:rsidP="00CC2540">
      <w:pPr>
        <w:widowControl w:val="0"/>
        <w:bidi/>
        <w:spacing w:after="0" w:line="262" w:lineRule="auto"/>
        <w:ind w:firstLine="284"/>
        <w:jc w:val="both"/>
        <w:rPr>
          <w:rFonts w:cs="Abz-2 (Badr)"/>
          <w:color w:val="000000" w:themeColor="text1"/>
          <w:sz w:val="28"/>
          <w:szCs w:val="28"/>
          <w:rtl/>
          <w:lang w:bidi="fa-IR"/>
        </w:rPr>
      </w:pPr>
      <w:r w:rsidRPr="00807444">
        <w:rPr>
          <w:rFonts w:cs="Abz-2 (Badr)"/>
          <w:color w:val="000000" w:themeColor="text1"/>
          <w:sz w:val="28"/>
          <w:szCs w:val="28"/>
          <w:rtl/>
          <w:lang w:bidi="fa-IR"/>
        </w:rPr>
        <w:t>ولو أبرأت المرأة الغارّ، لم يكن له تأثير إلا</w:t>
      </w:r>
      <w:r>
        <w:rPr>
          <w:rFonts w:cs="Abz-2 (Badr)" w:hint="cs"/>
          <w:color w:val="000000" w:themeColor="text1"/>
          <w:sz w:val="28"/>
          <w:szCs w:val="28"/>
          <w:rtl/>
          <w:lang w:bidi="fa-IR"/>
        </w:rPr>
        <w:t xml:space="preserve"> </w:t>
      </w:r>
      <w:r w:rsidRPr="00807444">
        <w:rPr>
          <w:rFonts w:cs="Abz-2 (Badr)"/>
          <w:color w:val="000000" w:themeColor="text1"/>
          <w:sz w:val="28"/>
          <w:szCs w:val="28"/>
          <w:rtl/>
          <w:lang w:bidi="fa-IR"/>
        </w:rPr>
        <w:t>في عدم جواز رجوعها إليه، فلها أخذ المهر من الزوج بعد إبراء الغارّ، وللزوج الرجوع إليه بعد الأداء.</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5"/>
      </w:r>
    </w:p>
    <w:p w14:paraId="544F13D1" w14:textId="0DEF51FC" w:rsidR="00CC2540" w:rsidRPr="00446D6D" w:rsidRDefault="00CC2540" w:rsidP="001B2ADB">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color w:val="000000" w:themeColor="text1"/>
          <w:sz w:val="28"/>
          <w:szCs w:val="28"/>
          <w:rtl/>
          <w:lang w:bidi="fa-IR"/>
        </w:rPr>
        <w:t>مضافاً بر اين که نتيجه اين مطلب اين خواهد بود که چنانچه امکان رجوع به مغرور به هر دليلی وجود نداشته باشد، مضمون له با مراجعه به غار می</w:t>
      </w:r>
      <w:r>
        <w:rPr>
          <w:rFonts w:cs="Abz-2 (Badr)"/>
          <w:color w:val="000000" w:themeColor="text1"/>
          <w:sz w:val="28"/>
          <w:szCs w:val="28"/>
          <w:rtl/>
          <w:lang w:bidi="fa-IR"/>
        </w:rPr>
        <w:softHyphen/>
      </w:r>
      <w:r>
        <w:rPr>
          <w:rFonts w:cs="Abz-2 (Badr)" w:hint="cs"/>
          <w:color w:val="000000" w:themeColor="text1"/>
          <w:sz w:val="28"/>
          <w:szCs w:val="28"/>
          <w:rtl/>
          <w:lang w:bidi="fa-IR"/>
        </w:rPr>
        <w:t>تواند خسارت خود را مطالبه کند، در حالی که اگر رجوع به غار را فقط حق مغرور بدانيم، در اين فرض حقی برای رجوع مضمون له به غار وجود نخواهد داشت.</w:t>
      </w:r>
    </w:p>
    <w:p w14:paraId="23FF8747" w14:textId="77777777" w:rsidR="00CC2540" w:rsidRDefault="00CC2540" w:rsidP="00CC2540">
      <w:pPr>
        <w:widowControl w:val="0"/>
        <w:bidi/>
        <w:spacing w:after="0"/>
        <w:ind w:firstLine="284"/>
        <w:jc w:val="both"/>
        <w:rPr>
          <w:rFonts w:cs="Abz-2 (Badr)"/>
          <w:color w:val="000000" w:themeColor="text1"/>
          <w:sz w:val="28"/>
          <w:szCs w:val="28"/>
          <w:rtl/>
          <w:lang w:bidi="fa-IR"/>
        </w:rPr>
      </w:pPr>
    </w:p>
    <w:bookmarkEnd w:id="0"/>
    <w:bookmarkEnd w:id="1"/>
    <w:sectPr w:rsidR="00CC2540">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78B8105D" w14:textId="77777777" w:rsidR="00CC2540" w:rsidRPr="002D27AB" w:rsidRDefault="00CC2540" w:rsidP="00CC254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کافی،ج5،ص408،ح13 ـ وسائل،ج21،ص220،ح26938.</w:t>
      </w:r>
    </w:p>
  </w:footnote>
  <w:footnote w:id="2">
    <w:p w14:paraId="4858BF03" w14:textId="77777777" w:rsidR="00CC2540" w:rsidRPr="002D27AB" w:rsidRDefault="00CC2540" w:rsidP="00CC254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کافي،ج5،ص407،ح9 ـ وسائل،ج21،ص217 و 218،ح26934.</w:t>
      </w:r>
    </w:p>
  </w:footnote>
  <w:footnote w:id="3">
    <w:p w14:paraId="0FA4C06B" w14:textId="77777777" w:rsidR="00CC2540" w:rsidRPr="002D27AB" w:rsidRDefault="00CC2540" w:rsidP="00CC254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تهذيب،ج7،ص82،ح353 ـ وسائل،ج21،ص205،ح26904.</w:t>
      </w:r>
    </w:p>
  </w:footnote>
  <w:footnote w:id="4">
    <w:p w14:paraId="3E7672AE" w14:textId="77777777" w:rsidR="00CC2540" w:rsidRPr="002D27AB" w:rsidRDefault="00CC2540" w:rsidP="00CC254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کافی،ج7،ص384،ح7 ـ وسائل،ج27،ص330،ح33861.</w:t>
      </w:r>
    </w:p>
  </w:footnote>
  <w:footnote w:id="5">
    <w:p w14:paraId="611A64AF" w14:textId="77777777" w:rsidR="00CC2540" w:rsidRPr="002D27AB" w:rsidRDefault="00CC2540" w:rsidP="00CC254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کتاب البيع،ج2،ص483 - 486.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D0B46"/>
    <w:rsid w:val="000E1CDA"/>
    <w:rsid w:val="000E2156"/>
    <w:rsid w:val="000F2E50"/>
    <w:rsid w:val="00101B80"/>
    <w:rsid w:val="001050A2"/>
    <w:rsid w:val="001420FB"/>
    <w:rsid w:val="00145844"/>
    <w:rsid w:val="00150806"/>
    <w:rsid w:val="0015228E"/>
    <w:rsid w:val="001922E4"/>
    <w:rsid w:val="001B2ADB"/>
    <w:rsid w:val="001D1305"/>
    <w:rsid w:val="001D4A4D"/>
    <w:rsid w:val="0021414D"/>
    <w:rsid w:val="002829CF"/>
    <w:rsid w:val="00295DC1"/>
    <w:rsid w:val="0029688A"/>
    <w:rsid w:val="002A09CF"/>
    <w:rsid w:val="002C7D85"/>
    <w:rsid w:val="002D27AB"/>
    <w:rsid w:val="002E0246"/>
    <w:rsid w:val="00330590"/>
    <w:rsid w:val="00331A5F"/>
    <w:rsid w:val="00335969"/>
    <w:rsid w:val="003361EF"/>
    <w:rsid w:val="003A1222"/>
    <w:rsid w:val="003A199D"/>
    <w:rsid w:val="003C6DBC"/>
    <w:rsid w:val="003E2132"/>
    <w:rsid w:val="00487869"/>
    <w:rsid w:val="004B5767"/>
    <w:rsid w:val="004F446D"/>
    <w:rsid w:val="00521235"/>
    <w:rsid w:val="005327C7"/>
    <w:rsid w:val="005532E0"/>
    <w:rsid w:val="005751F1"/>
    <w:rsid w:val="005B6905"/>
    <w:rsid w:val="0060689C"/>
    <w:rsid w:val="00621F9A"/>
    <w:rsid w:val="00625979"/>
    <w:rsid w:val="00690AFD"/>
    <w:rsid w:val="006A4420"/>
    <w:rsid w:val="006B2F35"/>
    <w:rsid w:val="006C580F"/>
    <w:rsid w:val="0070259D"/>
    <w:rsid w:val="00703021"/>
    <w:rsid w:val="00706DD2"/>
    <w:rsid w:val="00731C05"/>
    <w:rsid w:val="007374CF"/>
    <w:rsid w:val="00750FB1"/>
    <w:rsid w:val="00761208"/>
    <w:rsid w:val="00875CD7"/>
    <w:rsid w:val="008869B4"/>
    <w:rsid w:val="008C3DDD"/>
    <w:rsid w:val="008D1155"/>
    <w:rsid w:val="008D55B7"/>
    <w:rsid w:val="008F3842"/>
    <w:rsid w:val="00901208"/>
    <w:rsid w:val="00920965"/>
    <w:rsid w:val="009251BE"/>
    <w:rsid w:val="009364C3"/>
    <w:rsid w:val="00940DC9"/>
    <w:rsid w:val="00943CA6"/>
    <w:rsid w:val="00976371"/>
    <w:rsid w:val="009A3CA7"/>
    <w:rsid w:val="009C1C9D"/>
    <w:rsid w:val="009D42F6"/>
    <w:rsid w:val="009E2B08"/>
    <w:rsid w:val="00A1285F"/>
    <w:rsid w:val="00A17467"/>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129A8"/>
    <w:rsid w:val="00C23C75"/>
    <w:rsid w:val="00C8378C"/>
    <w:rsid w:val="00C9359C"/>
    <w:rsid w:val="00C9572F"/>
    <w:rsid w:val="00CA0BC4"/>
    <w:rsid w:val="00CC2540"/>
    <w:rsid w:val="00CD08A2"/>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3BC0"/>
    <w:rsid w:val="00ED7F5C"/>
    <w:rsid w:val="00EE25C0"/>
    <w:rsid w:val="00F46AE2"/>
    <w:rsid w:val="00F46E3E"/>
    <w:rsid w:val="00F5720C"/>
    <w:rsid w:val="00F654C8"/>
    <w:rsid w:val="00F71127"/>
    <w:rsid w:val="00FC64C4"/>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46</cp:revision>
  <cp:lastPrinted>2022-10-24T17:25:00Z</cp:lastPrinted>
  <dcterms:created xsi:type="dcterms:W3CDTF">2022-10-16T08:36:00Z</dcterms:created>
  <dcterms:modified xsi:type="dcterms:W3CDTF">2022-10-26T06:58:00Z</dcterms:modified>
</cp:coreProperties>
</file>