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99A5A29"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CD08A2">
        <w:rPr>
          <w:rFonts w:cs="B Mitra" w:hint="cs"/>
          <w:b/>
          <w:bCs/>
          <w:sz w:val="32"/>
          <w:szCs w:val="32"/>
          <w:rtl/>
          <w:lang w:bidi="fa-IR"/>
        </w:rPr>
        <w:t>3</w:t>
      </w:r>
    </w:p>
    <w:p w14:paraId="5C378374" w14:textId="77777777" w:rsidR="00CD08A2" w:rsidRDefault="00CD08A2" w:rsidP="002829CF">
      <w:pPr>
        <w:widowControl w:val="0"/>
        <w:bidi/>
        <w:spacing w:after="0" w:line="254" w:lineRule="auto"/>
        <w:ind w:firstLine="284"/>
        <w:jc w:val="both"/>
        <w:rPr>
          <w:rFonts w:cs="Abz-2 (Badr)"/>
          <w:spacing w:val="-4"/>
          <w:sz w:val="28"/>
          <w:szCs w:val="28"/>
          <w:rtl/>
        </w:rPr>
      </w:pPr>
      <w:bookmarkStart w:id="0" w:name="_Hlk117452614"/>
      <w:bookmarkStart w:id="1" w:name="_Hlk117452648"/>
      <w:bookmarkStart w:id="2" w:name="_Hlk117414211"/>
      <w:r>
        <w:rPr>
          <w:rFonts w:cs="Abz-2 (Badr)" w:hint="cs"/>
          <w:spacing w:val="-4"/>
          <w:sz w:val="28"/>
          <w:szCs w:val="28"/>
          <w:rtl/>
        </w:rPr>
        <w:t>مطلب سوم: مدلول قاعده غرور</w:t>
      </w:r>
    </w:p>
    <w:p w14:paraId="58BACFE8" w14:textId="77777777" w:rsidR="00CD08A2" w:rsidRDefault="00CD08A2"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مستفاد از قاعده غرور اموری است که به شرح ذيل بيان می</w:t>
      </w:r>
      <w:r>
        <w:rPr>
          <w:rFonts w:cs="Abz-2 (Badr)"/>
          <w:color w:val="000000" w:themeColor="text1"/>
          <w:sz w:val="28"/>
          <w:szCs w:val="28"/>
          <w:rtl/>
          <w:lang w:bidi="fa-IR"/>
        </w:rPr>
        <w:softHyphen/>
      </w:r>
      <w:r>
        <w:rPr>
          <w:rFonts w:cs="Abz-2 (Badr)" w:hint="cs"/>
          <w:color w:val="000000" w:themeColor="text1"/>
          <w:sz w:val="28"/>
          <w:szCs w:val="28"/>
          <w:rtl/>
          <w:lang w:bidi="fa-IR"/>
        </w:rPr>
        <w:t>شود:</w:t>
      </w:r>
    </w:p>
    <w:p w14:paraId="11C6DE29" w14:textId="39F9AF80" w:rsidR="00CD08A2" w:rsidRDefault="00CD08A2"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1 ـ در صورتی که مستند به غرور ضرری متوجه مغرور گردد، مغرور </w:t>
      </w:r>
      <w:r w:rsidR="00C1047A">
        <w:rPr>
          <w:rFonts w:cs="Abz-2 (Badr)" w:hint="cs"/>
          <w:color w:val="000000" w:themeColor="text1"/>
          <w:sz w:val="28"/>
          <w:szCs w:val="28"/>
          <w:rtl/>
          <w:lang w:bidi="fa-IR"/>
        </w:rPr>
        <w:t>حقّ</w:t>
      </w:r>
      <w:r>
        <w:rPr>
          <w:rFonts w:cs="Abz-2 (Badr)" w:hint="cs"/>
          <w:color w:val="000000" w:themeColor="text1"/>
          <w:sz w:val="28"/>
          <w:szCs w:val="28"/>
          <w:rtl/>
          <w:lang w:bidi="fa-IR"/>
        </w:rPr>
        <w:t xml:space="preserve"> مطالبه ضمان آن را از غار دارد؛ فرقی نمی</w:t>
      </w:r>
      <w:r>
        <w:rPr>
          <w:rFonts w:cs="Abz-2 (Badr)"/>
          <w:color w:val="000000" w:themeColor="text1"/>
          <w:sz w:val="28"/>
          <w:szCs w:val="28"/>
          <w:rtl/>
          <w:lang w:bidi="fa-IR"/>
        </w:rPr>
        <w:softHyphen/>
      </w:r>
      <w:r>
        <w:rPr>
          <w:rFonts w:cs="Abz-2 (Badr)" w:hint="cs"/>
          <w:color w:val="000000" w:themeColor="text1"/>
          <w:sz w:val="28"/>
          <w:szCs w:val="28"/>
          <w:rtl/>
          <w:lang w:bidi="fa-IR"/>
        </w:rPr>
        <w:t>کند که اين ضرر مستقيماً به واسطه خود غرور متوجه وی شده باشد ـ مثل اين که غار مال خود مغرور را در معرض تلف به دست خود او قرار دهد ـ و يا اين که غرور سبب اتلاف مال غير توسط مغرور گردد که موجب ضمان وی می</w:t>
      </w:r>
      <w:r>
        <w:rPr>
          <w:rFonts w:cs="Abz-2 (Badr)"/>
          <w:color w:val="000000" w:themeColor="text1"/>
          <w:sz w:val="28"/>
          <w:szCs w:val="28"/>
          <w:rtl/>
          <w:lang w:bidi="fa-IR"/>
        </w:rPr>
        <w:softHyphen/>
      </w:r>
      <w:r>
        <w:rPr>
          <w:rFonts w:cs="Abz-2 (Badr)" w:hint="cs"/>
          <w:color w:val="000000" w:themeColor="text1"/>
          <w:sz w:val="28"/>
          <w:szCs w:val="28"/>
          <w:rtl/>
          <w:lang w:bidi="fa-IR"/>
        </w:rPr>
        <w:t>شود و در نتيجه به سبب دفع عوض مال غير، ضرری متوجه مغرور شود.</w:t>
      </w:r>
    </w:p>
    <w:p w14:paraId="15458D6F" w14:textId="77777777" w:rsidR="00CD08A2" w:rsidRDefault="00CD08A2"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 در اين مسأله فرقی نمی</w:t>
      </w:r>
      <w:r>
        <w:rPr>
          <w:rFonts w:cs="Abz-2 (Badr)"/>
          <w:color w:val="000000" w:themeColor="text1"/>
          <w:sz w:val="28"/>
          <w:szCs w:val="28"/>
          <w:rtl/>
          <w:lang w:bidi="fa-IR"/>
        </w:rPr>
        <w:softHyphen/>
      </w:r>
      <w:r>
        <w:rPr>
          <w:rFonts w:cs="Abz-2 (Badr)" w:hint="cs"/>
          <w:color w:val="000000" w:themeColor="text1"/>
          <w:sz w:val="28"/>
          <w:szCs w:val="28"/>
          <w:rtl/>
          <w:lang w:bidi="fa-IR"/>
        </w:rPr>
        <w:t>کند که در عوض ضرر، نفعی مالی يا غير مالی هم به مغرور رسيده باشد يا خير، زيرا هم اطلاق ادله شرعی شامل چنين موردی است و هم سيره عقلاء بر اين است که در چنين مواردی نيز غار را ضامن به حساب می</w:t>
      </w:r>
      <w:r>
        <w:rPr>
          <w:rFonts w:cs="Abz-2 (Badr)"/>
          <w:color w:val="000000" w:themeColor="text1"/>
          <w:sz w:val="28"/>
          <w:szCs w:val="28"/>
          <w:rtl/>
          <w:lang w:bidi="fa-IR"/>
        </w:rPr>
        <w:softHyphen/>
      </w:r>
      <w:r>
        <w:rPr>
          <w:rFonts w:cs="Abz-2 (Badr)" w:hint="cs"/>
          <w:color w:val="000000" w:themeColor="text1"/>
          <w:sz w:val="28"/>
          <w:szCs w:val="28"/>
          <w:rtl/>
          <w:lang w:bidi="fa-IR"/>
        </w:rPr>
        <w:t>آورند.</w:t>
      </w:r>
    </w:p>
    <w:p w14:paraId="284F9A31" w14:textId="77777777" w:rsidR="00CD08A2" w:rsidRDefault="00CD08A2"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تنها ملاک برای جريان قاعده غرور، استناد ضرر متوجه به مغرور به غرور ناشی از فعل غار است به نحوی که اگر فعل غار نبود، فعلی هم از مغرور سر نمی</w:t>
      </w:r>
      <w:r>
        <w:rPr>
          <w:rFonts w:cs="Abz-2 (Badr)"/>
          <w:color w:val="000000" w:themeColor="text1"/>
          <w:sz w:val="28"/>
          <w:szCs w:val="28"/>
          <w:rtl/>
          <w:lang w:bidi="fa-IR"/>
        </w:rPr>
        <w:softHyphen/>
      </w:r>
      <w:r>
        <w:rPr>
          <w:rFonts w:cs="Abz-2 (Badr)" w:hint="cs"/>
          <w:color w:val="000000" w:themeColor="text1"/>
          <w:sz w:val="28"/>
          <w:szCs w:val="28"/>
          <w:rtl/>
          <w:lang w:bidi="fa-IR"/>
        </w:rPr>
        <w:t>زد تا ضرری متوجه وی شود.</w:t>
      </w:r>
    </w:p>
    <w:p w14:paraId="10DB0C7D" w14:textId="77777777" w:rsidR="00CD08A2" w:rsidRPr="002829CF" w:rsidRDefault="00CD08A2" w:rsidP="002829CF">
      <w:pPr>
        <w:widowControl w:val="0"/>
        <w:bidi/>
        <w:spacing w:after="0" w:line="254" w:lineRule="auto"/>
        <w:ind w:firstLine="284"/>
        <w:jc w:val="both"/>
        <w:rPr>
          <w:rFonts w:cs="Abz-2 (Badr)"/>
          <w:color w:val="000000" w:themeColor="text1"/>
          <w:spacing w:val="-4"/>
          <w:sz w:val="28"/>
          <w:szCs w:val="28"/>
          <w:rtl/>
          <w:lang w:bidi="fa-IR"/>
        </w:rPr>
      </w:pPr>
      <w:r w:rsidRPr="002829CF">
        <w:rPr>
          <w:rFonts w:cs="Abz-2 (Badr)" w:hint="cs"/>
          <w:color w:val="000000" w:themeColor="text1"/>
          <w:spacing w:val="-4"/>
          <w:sz w:val="28"/>
          <w:szCs w:val="28"/>
          <w:rtl/>
          <w:lang w:bidi="fa-IR"/>
        </w:rPr>
        <w:t>2 ـ برای تحقق غرور همان گونه که سابقاً گذشت، علم غار شرط است و بدون آن غروری وجود ندارد. اگر هم آنچه که از لغت بيان شد مقبول واقع نشود، حداقل اين است که در خصوص اشتراط علم غار در غرور شبهه مفهومي وجود دارد و لازم است که در اخذ به اخبار به قدر متيقّن از آن که در جايی است که غارّ علم به واقع داشته باشد اکتفاء نمود.</w:t>
      </w:r>
    </w:p>
    <w:p w14:paraId="3E7AE436" w14:textId="77777777" w:rsidR="00CD08A2" w:rsidRPr="002829CF" w:rsidRDefault="00CD08A2" w:rsidP="002829CF">
      <w:pPr>
        <w:widowControl w:val="0"/>
        <w:bidi/>
        <w:spacing w:after="0" w:line="254" w:lineRule="auto"/>
        <w:ind w:firstLine="284"/>
        <w:jc w:val="both"/>
        <w:rPr>
          <w:rFonts w:cs="Abz-2 (Badr)"/>
          <w:color w:val="000000" w:themeColor="text1"/>
          <w:spacing w:val="-4"/>
          <w:sz w:val="28"/>
          <w:szCs w:val="28"/>
          <w:rtl/>
          <w:lang w:bidi="fa-IR"/>
        </w:rPr>
      </w:pPr>
      <w:r w:rsidRPr="002829CF">
        <w:rPr>
          <w:rFonts w:cs="Abz-2 (Badr)" w:hint="cs"/>
          <w:color w:val="000000" w:themeColor="text1"/>
          <w:spacing w:val="-4"/>
          <w:sz w:val="28"/>
          <w:szCs w:val="28"/>
          <w:rtl/>
          <w:lang w:bidi="fa-IR"/>
        </w:rPr>
        <w:t>همچنان که اگر مستند قاعده بناء عقلا باشد نيز چون از ادله لبی به حساب می</w:t>
      </w:r>
      <w:r w:rsidRPr="002829CF">
        <w:rPr>
          <w:rFonts w:cs="Abz-2 (Badr)"/>
          <w:color w:val="000000" w:themeColor="text1"/>
          <w:spacing w:val="-4"/>
          <w:sz w:val="28"/>
          <w:szCs w:val="28"/>
          <w:rtl/>
          <w:lang w:bidi="fa-IR"/>
        </w:rPr>
        <w:softHyphen/>
      </w:r>
      <w:r w:rsidRPr="002829CF">
        <w:rPr>
          <w:rFonts w:cs="Abz-2 (Badr)" w:hint="cs"/>
          <w:color w:val="000000" w:themeColor="text1"/>
          <w:spacing w:val="-4"/>
          <w:sz w:val="28"/>
          <w:szCs w:val="28"/>
          <w:rtl/>
          <w:lang w:bidi="fa-IR"/>
        </w:rPr>
        <w:t>آيد اکتفاء به قدر متيقّن در آن لازم است.</w:t>
      </w:r>
    </w:p>
    <w:p w14:paraId="0B91CC6E" w14:textId="77777777" w:rsidR="00CD08A2" w:rsidRDefault="00CD08A2"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علاوه بر اين که اگر قائل به اين شويم که در صدق غرور علم غارّ شرط نيست، توالی فاسد زيادی بر آن مترتّب می</w:t>
      </w:r>
      <w:r>
        <w:rPr>
          <w:rFonts w:cs="Abz-2 (Badr)"/>
          <w:color w:val="000000" w:themeColor="text1"/>
          <w:sz w:val="28"/>
          <w:szCs w:val="28"/>
          <w:rtl/>
          <w:lang w:bidi="fa-IR"/>
        </w:rPr>
        <w:softHyphen/>
      </w:r>
      <w:r>
        <w:rPr>
          <w:rFonts w:cs="Abz-2 (Badr)" w:hint="cs"/>
          <w:color w:val="000000" w:themeColor="text1"/>
          <w:sz w:val="28"/>
          <w:szCs w:val="28"/>
          <w:rtl/>
          <w:lang w:bidi="fa-IR"/>
        </w:rPr>
        <w:t>شود که قابل التزام نيست.</w:t>
      </w:r>
    </w:p>
    <w:p w14:paraId="735C3F25" w14:textId="77777777" w:rsidR="00CD08A2" w:rsidRDefault="00CD08A2"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مثلاً چنانچه دو نفر به واسطه اماراتی مثل يد شهادت بر ملکيت کسی دادند و شخص ديگری به سبب اين شهادت آن مال را خريد و معلوم شد که آن مال متعلق به ديگری است و بدين سبب ضمان متوجه خريدار شد، در صورتی که در تحقق غرور علم غار را شرط ندانيم بايد گفت که خريدار می</w:t>
      </w:r>
      <w:r>
        <w:rPr>
          <w:rFonts w:cs="Abz-2 (Badr)"/>
          <w:color w:val="000000" w:themeColor="text1"/>
          <w:sz w:val="28"/>
          <w:szCs w:val="28"/>
          <w:rtl/>
          <w:lang w:bidi="fa-IR"/>
        </w:rPr>
        <w:softHyphen/>
      </w:r>
      <w:r>
        <w:rPr>
          <w:rFonts w:cs="Abz-2 (Badr)" w:hint="cs"/>
          <w:color w:val="000000" w:themeColor="text1"/>
          <w:sz w:val="28"/>
          <w:szCs w:val="28"/>
          <w:rtl/>
          <w:lang w:bidi="fa-IR"/>
        </w:rPr>
        <w:t>تواند به دو شاهد مذکور مراجعه نمايد، در حالی که اين مطلب قابل التزام نيست و بلکه التزام به آن ممکن است سبب انسداد باب شهادت گردد.</w:t>
      </w:r>
    </w:p>
    <w:bookmarkEnd w:id="0"/>
    <w:p w14:paraId="3C65A811" w14:textId="77777777" w:rsidR="002829CF" w:rsidRDefault="002829CF" w:rsidP="002829CF">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گفته نشود: ادله شهادت مخصوص به جايی است که شاهد مستند به حس شهادت بدهد، بنابر اين شهادت بر مسبّباتی مثل ملکيت و زوجيت جايز نيست، چون استناد به حس ندارند، بلکه شهادت فقط بر اسبابی مثل عقد که </w:t>
      </w:r>
      <w:r>
        <w:rPr>
          <w:rFonts w:cs="Abz-2 (Badr)" w:hint="cs"/>
          <w:color w:val="000000" w:themeColor="text1"/>
          <w:sz w:val="28"/>
          <w:szCs w:val="28"/>
          <w:rtl/>
          <w:lang w:bidi="fa-IR"/>
        </w:rPr>
        <w:lastRenderedPageBreak/>
        <w:t>حسی می</w:t>
      </w:r>
      <w:r>
        <w:rPr>
          <w:rFonts w:cs="Abz-2 (Badr)"/>
          <w:color w:val="000000" w:themeColor="text1"/>
          <w:sz w:val="28"/>
          <w:szCs w:val="28"/>
          <w:rtl/>
          <w:lang w:bidi="fa-IR"/>
        </w:rPr>
        <w:softHyphen/>
      </w:r>
      <w:r>
        <w:rPr>
          <w:rFonts w:cs="Abz-2 (Badr)" w:hint="cs"/>
          <w:color w:val="000000" w:themeColor="text1"/>
          <w:sz w:val="28"/>
          <w:szCs w:val="28"/>
          <w:rtl/>
          <w:lang w:bidi="fa-IR"/>
        </w:rPr>
        <w:t>باشند ممکن است.</w:t>
      </w:r>
    </w:p>
    <w:p w14:paraId="22ED750F" w14:textId="77777777" w:rsidR="002829CF" w:rsidRDefault="002829CF"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زيرا پاسخ اين است که لزوم استناد شهادت به حس به معنای عدم امکان شهادت بر مسببات نيست و جواز شهادت بر مسبّبات امری مفروغ عنه در نزد اصحاب است؛ بلکه منظور اين است که شاهد بايد علم به آن چيزی داشته باشد که به آن شهادت می</w:t>
      </w:r>
      <w:r>
        <w:rPr>
          <w:rFonts w:cs="Abz-2 (Badr)"/>
          <w:color w:val="000000" w:themeColor="text1"/>
          <w:sz w:val="28"/>
          <w:szCs w:val="28"/>
          <w:rtl/>
          <w:lang w:bidi="fa-IR"/>
        </w:rPr>
        <w:softHyphen/>
      </w:r>
      <w:r>
        <w:rPr>
          <w:rFonts w:cs="Abz-2 (Badr)" w:hint="cs"/>
          <w:color w:val="000000" w:themeColor="text1"/>
          <w:sz w:val="28"/>
          <w:szCs w:val="28"/>
          <w:rtl/>
          <w:lang w:bidi="fa-IR"/>
        </w:rPr>
        <w:t>دهد و ظن در شهادت کفايت نمی</w:t>
      </w:r>
      <w:r>
        <w:rPr>
          <w:rFonts w:cs="Abz-2 (Badr)"/>
          <w:color w:val="000000" w:themeColor="text1"/>
          <w:sz w:val="28"/>
          <w:szCs w:val="28"/>
          <w:rtl/>
          <w:lang w:bidi="fa-IR"/>
        </w:rPr>
        <w:softHyphen/>
      </w:r>
      <w:r>
        <w:rPr>
          <w:rFonts w:cs="Abz-2 (Badr)" w:hint="cs"/>
          <w:color w:val="000000" w:themeColor="text1"/>
          <w:sz w:val="28"/>
          <w:szCs w:val="28"/>
          <w:rtl/>
          <w:lang w:bidi="fa-IR"/>
        </w:rPr>
        <w:t>کند و اگر اين علم از طرق عرفی در هر موردی حاصل بشوند، کفايت می</w:t>
      </w:r>
      <w:r>
        <w:rPr>
          <w:rFonts w:cs="Abz-2 (Badr)"/>
          <w:color w:val="000000" w:themeColor="text1"/>
          <w:sz w:val="28"/>
          <w:szCs w:val="28"/>
          <w:rtl/>
          <w:lang w:bidi="fa-IR"/>
        </w:rPr>
        <w:softHyphen/>
      </w:r>
      <w:r>
        <w:rPr>
          <w:rFonts w:cs="Abz-2 (Badr)" w:hint="cs"/>
          <w:color w:val="000000" w:themeColor="text1"/>
          <w:sz w:val="28"/>
          <w:szCs w:val="28"/>
          <w:rtl/>
          <w:lang w:bidi="fa-IR"/>
        </w:rPr>
        <w:t>کند.</w:t>
      </w:r>
    </w:p>
    <w:p w14:paraId="0AB094F9" w14:textId="77777777" w:rsidR="002829CF" w:rsidRPr="00EA2924" w:rsidRDefault="002829CF" w:rsidP="002829CF">
      <w:pPr>
        <w:widowControl w:val="0"/>
        <w:bidi/>
        <w:spacing w:after="0" w:line="254"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به همين جهت صاحب جواهر در اشکال بر مدعای صاحب رياض مبنی بر اين که آنچه که بر آن شهادت داده می</w:t>
      </w:r>
      <w:r>
        <w:rPr>
          <w:rFonts w:cs="Abz-2 (Badr)"/>
          <w:color w:val="000000" w:themeColor="text1"/>
          <w:sz w:val="28"/>
          <w:szCs w:val="28"/>
          <w:rtl/>
          <w:lang w:bidi="fa-IR"/>
        </w:rPr>
        <w:softHyphen/>
      </w:r>
      <w:r>
        <w:rPr>
          <w:rFonts w:cs="Abz-2 (Badr)" w:hint="cs"/>
          <w:color w:val="000000" w:themeColor="text1"/>
          <w:sz w:val="28"/>
          <w:szCs w:val="28"/>
          <w:rtl/>
          <w:lang w:bidi="fa-IR"/>
        </w:rPr>
        <w:t>شود لزوماً بايد با حواس درک شده باشد</w:t>
      </w:r>
      <w:r w:rsidRPr="002D27AB">
        <w:rPr>
          <w:rStyle w:val="FootnoteReference"/>
          <w:rFonts w:cs="Abz-2 (Badr)"/>
          <w:sz w:val="28"/>
          <w:szCs w:val="28"/>
          <w:rtl/>
          <w:lang w:bidi="fa-IR"/>
        </w:rPr>
        <w:footnoteReference w:id="1"/>
      </w:r>
      <w:r>
        <w:rPr>
          <w:rFonts w:cs="Abz-2 (Badr)" w:hint="cs"/>
          <w:color w:val="000000" w:themeColor="text1"/>
          <w:sz w:val="28"/>
          <w:szCs w:val="28"/>
          <w:rtl/>
          <w:lang w:bidi="fa-IR"/>
        </w:rPr>
        <w:t xml:space="preserve"> می</w:t>
      </w:r>
      <w:r>
        <w:rPr>
          <w:rFonts w:cs="Abz-2 (Badr)"/>
          <w:color w:val="000000" w:themeColor="text1"/>
          <w:sz w:val="28"/>
          <w:szCs w:val="28"/>
          <w:rtl/>
          <w:lang w:bidi="fa-IR"/>
        </w:rPr>
        <w:softHyphen/>
      </w:r>
      <w:r>
        <w:rPr>
          <w:rFonts w:cs="Abz-2 (Badr)" w:hint="cs"/>
          <w:color w:val="000000" w:themeColor="text1"/>
          <w:sz w:val="28"/>
          <w:szCs w:val="28"/>
          <w:rtl/>
          <w:lang w:bidi="fa-IR"/>
        </w:rPr>
        <w:t>فرمايد: «</w:t>
      </w:r>
      <w:r w:rsidRPr="00EA2924">
        <w:rPr>
          <w:rFonts w:cs="Abz-2 (Badr)"/>
          <w:color w:val="000000" w:themeColor="text1"/>
          <w:sz w:val="28"/>
          <w:szCs w:val="28"/>
          <w:rtl/>
          <w:lang w:bidi="fa-IR"/>
        </w:rPr>
        <w:t>هو من غرائب الكلام، ضرورة اقتضائه عدم صح</w:t>
      </w:r>
      <w:r>
        <w:rPr>
          <w:rFonts w:cs="Abz-2 (Badr)" w:hint="cs"/>
          <w:color w:val="000000" w:themeColor="text1"/>
          <w:sz w:val="28"/>
          <w:szCs w:val="28"/>
          <w:rtl/>
          <w:lang w:bidi="fa-IR"/>
        </w:rPr>
        <w:t>ّ</w:t>
      </w:r>
      <w:r w:rsidRPr="00EA2924">
        <w:rPr>
          <w:rFonts w:cs="Abz-2 (Badr)"/>
          <w:color w:val="000000" w:themeColor="text1"/>
          <w:sz w:val="28"/>
          <w:szCs w:val="28"/>
          <w:rtl/>
          <w:lang w:bidi="fa-IR"/>
        </w:rPr>
        <w:t>ة الشهادة لنا الآن لأمير المؤمنين(ع</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بنصب النبي</w:t>
      </w:r>
      <w:r>
        <w:rPr>
          <w:rFonts w:cs="Abz-2 (Badr)" w:hint="cs"/>
          <w:color w:val="000000" w:themeColor="text1"/>
          <w:sz w:val="28"/>
          <w:szCs w:val="28"/>
          <w:rtl/>
          <w:lang w:bidi="fa-IR"/>
        </w:rPr>
        <w:t>ّ</w:t>
      </w:r>
      <w:r w:rsidRPr="00EA2924">
        <w:rPr>
          <w:rFonts w:cs="Abz-2 (Badr)"/>
          <w:color w:val="000000" w:themeColor="text1"/>
          <w:sz w:val="28"/>
          <w:szCs w:val="28"/>
          <w:rtl/>
          <w:lang w:bidi="fa-IR"/>
        </w:rPr>
        <w:t>(ص</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له إماما</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يوم غدير خم</w:t>
      </w:r>
      <w:r>
        <w:rPr>
          <w:rFonts w:cs="Abz-2 (Badr)" w:hint="cs"/>
          <w:color w:val="000000" w:themeColor="text1"/>
          <w:sz w:val="28"/>
          <w:szCs w:val="28"/>
          <w:rtl/>
          <w:lang w:bidi="fa-IR"/>
        </w:rPr>
        <w:t>ّ</w:t>
      </w:r>
      <w:r w:rsidRPr="00EA2924">
        <w:rPr>
          <w:rFonts w:cs="Abz-2 (Badr)"/>
          <w:color w:val="000000" w:themeColor="text1"/>
          <w:sz w:val="28"/>
          <w:szCs w:val="28"/>
          <w:rtl/>
          <w:lang w:bidi="fa-IR"/>
        </w:rPr>
        <w:t>، لأن</w:t>
      </w:r>
      <w:r>
        <w:rPr>
          <w:rFonts w:cs="Abz-2 (Badr)" w:hint="cs"/>
          <w:color w:val="000000" w:themeColor="text1"/>
          <w:sz w:val="28"/>
          <w:szCs w:val="28"/>
          <w:rtl/>
          <w:lang w:bidi="fa-IR"/>
        </w:rPr>
        <w:t>ّ</w:t>
      </w:r>
      <w:r w:rsidRPr="00EA2924">
        <w:rPr>
          <w:rFonts w:cs="Abz-2 (Badr)"/>
          <w:color w:val="000000" w:themeColor="text1"/>
          <w:sz w:val="28"/>
          <w:szCs w:val="28"/>
          <w:rtl/>
          <w:lang w:bidi="fa-IR"/>
        </w:rPr>
        <w:t>ه واصل إلينا بطريق التواتر ولم نكن حاضرين وقت النصب، ولا على أبي بكر وعمر بغصب فدك من الزهراء البتول(س</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بل ولا غير ذلك مم</w:t>
      </w:r>
      <w:r>
        <w:rPr>
          <w:rFonts w:cs="Abz-2 (Badr)" w:hint="cs"/>
          <w:color w:val="000000" w:themeColor="text1"/>
          <w:sz w:val="28"/>
          <w:szCs w:val="28"/>
          <w:rtl/>
          <w:lang w:bidi="fa-IR"/>
        </w:rPr>
        <w:t>ّ</w:t>
      </w:r>
      <w:r w:rsidRPr="00EA2924">
        <w:rPr>
          <w:rFonts w:cs="Abz-2 (Badr)"/>
          <w:color w:val="000000" w:themeColor="text1"/>
          <w:sz w:val="28"/>
          <w:szCs w:val="28"/>
          <w:rtl/>
          <w:lang w:bidi="fa-IR"/>
        </w:rPr>
        <w:t>ا وصل إلينا بالتواتر أو بالأخبار المحفوفة بالقرائن، بل وليست شهادتنا أن لا إله إلا الله تعالى شأنه وأن</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محم</w:t>
      </w:r>
      <w:r>
        <w:rPr>
          <w:rFonts w:cs="Abz-2 (Badr)" w:hint="cs"/>
          <w:color w:val="000000" w:themeColor="text1"/>
          <w:sz w:val="28"/>
          <w:szCs w:val="28"/>
          <w:rtl/>
          <w:lang w:bidi="fa-IR"/>
        </w:rPr>
        <w:t>ّ</w:t>
      </w:r>
      <w:r w:rsidRPr="00EA2924">
        <w:rPr>
          <w:rFonts w:cs="Abz-2 (Badr)"/>
          <w:color w:val="000000" w:themeColor="text1"/>
          <w:sz w:val="28"/>
          <w:szCs w:val="28"/>
          <w:rtl/>
          <w:lang w:bidi="fa-IR"/>
        </w:rPr>
        <w:t>دا</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(ص) عبده ورسوله شهادة حقيقة، لعدم الحضور فيها. </w:t>
      </w:r>
    </w:p>
    <w:p w14:paraId="334FC3BD" w14:textId="77777777" w:rsidR="002829CF" w:rsidRPr="00EA2924" w:rsidRDefault="002829CF" w:rsidP="002829CF">
      <w:pPr>
        <w:widowControl w:val="0"/>
        <w:bidi/>
        <w:spacing w:after="0" w:line="254" w:lineRule="auto"/>
        <w:ind w:firstLine="284"/>
        <w:jc w:val="both"/>
        <w:rPr>
          <w:rFonts w:ascii="Noor_Nazli" w:eastAsia="Times New Roman" w:hAnsi="Noor_Nazli" w:cs="Times New Roman"/>
          <w:sz w:val="36"/>
          <w:szCs w:val="36"/>
          <w:rtl/>
          <w:lang w:bidi="fa-IR"/>
        </w:rPr>
      </w:pPr>
      <w:r w:rsidRPr="00EA2924">
        <w:rPr>
          <w:rFonts w:cs="Abz-2 (Badr)"/>
          <w:color w:val="000000" w:themeColor="text1"/>
          <w:sz w:val="28"/>
          <w:szCs w:val="28"/>
          <w:rtl/>
          <w:lang w:bidi="fa-IR"/>
        </w:rPr>
        <w:t>وبالجملة لا ريب في سقوط الكلام المزبور خصوصا</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مع ملاحظة ما ورد من صح</w:t>
      </w:r>
      <w:r>
        <w:rPr>
          <w:rFonts w:cs="Abz-2 (Badr)" w:hint="cs"/>
          <w:color w:val="000000" w:themeColor="text1"/>
          <w:sz w:val="28"/>
          <w:szCs w:val="28"/>
          <w:rtl/>
          <w:lang w:bidi="fa-IR"/>
        </w:rPr>
        <w:t>ّ</w:t>
      </w:r>
      <w:r w:rsidRPr="00EA2924">
        <w:rPr>
          <w:rFonts w:cs="Abz-2 (Badr)"/>
          <w:color w:val="000000" w:themeColor="text1"/>
          <w:sz w:val="28"/>
          <w:szCs w:val="28"/>
          <w:rtl/>
          <w:lang w:bidi="fa-IR"/>
        </w:rPr>
        <w:t>ة شهادة الأعمى إذا أثبت زيادة على ما عرفت من كون المدار على العلم، بل لعل</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الأصحاب لا يخالفون في ذلك، وإن</w:t>
      </w:r>
      <w:r>
        <w:rPr>
          <w:rFonts w:cs="Abz-2 (Badr)" w:hint="cs"/>
          <w:color w:val="000000" w:themeColor="text1"/>
          <w:sz w:val="28"/>
          <w:szCs w:val="28"/>
          <w:rtl/>
          <w:lang w:bidi="fa-IR"/>
        </w:rPr>
        <w:t>ّ</w:t>
      </w:r>
      <w:r w:rsidRPr="00EA2924">
        <w:rPr>
          <w:rFonts w:cs="Abz-2 (Badr)"/>
          <w:color w:val="000000" w:themeColor="text1"/>
          <w:sz w:val="28"/>
          <w:szCs w:val="28"/>
          <w:rtl/>
          <w:lang w:bidi="fa-IR"/>
        </w:rPr>
        <w:t>ما غرضهم في الكلام المزبور استثناء ما يثبت بالسماع وإن لم يصل إلى حد</w:t>
      </w:r>
      <w:r>
        <w:rPr>
          <w:rFonts w:cs="Abz-2 (Badr)" w:hint="cs"/>
          <w:color w:val="000000" w:themeColor="text1"/>
          <w:sz w:val="28"/>
          <w:szCs w:val="28"/>
          <w:rtl/>
          <w:lang w:bidi="fa-IR"/>
        </w:rPr>
        <w:t>ّ</w:t>
      </w:r>
      <w:r w:rsidRPr="00EA2924">
        <w:rPr>
          <w:rFonts w:cs="Abz-2 (Badr)"/>
          <w:color w:val="000000" w:themeColor="text1"/>
          <w:sz w:val="28"/>
          <w:szCs w:val="28"/>
          <w:rtl/>
          <w:lang w:bidi="fa-IR"/>
        </w:rPr>
        <w:t xml:space="preserve"> العلم في الأ</w:t>
      </w:r>
      <w:r>
        <w:rPr>
          <w:rFonts w:cs="Abz-2 (Badr)" w:hint="cs"/>
          <w:color w:val="000000" w:themeColor="text1"/>
          <w:sz w:val="28"/>
          <w:szCs w:val="28"/>
          <w:rtl/>
          <w:lang w:bidi="fa-IR"/>
        </w:rPr>
        <w:t>ُ</w:t>
      </w:r>
      <w:r w:rsidRPr="00EA2924">
        <w:rPr>
          <w:rFonts w:cs="Abz-2 (Badr)"/>
          <w:color w:val="000000" w:themeColor="text1"/>
          <w:sz w:val="28"/>
          <w:szCs w:val="28"/>
          <w:rtl/>
          <w:lang w:bidi="fa-IR"/>
        </w:rPr>
        <w:t>مور السبعة أو الأزيد كما تعرف، لا اعتبار كون الشهادة بطريق البصر بحيث لا يجوز غيره وإن حصل العلم القطعي حت</w:t>
      </w:r>
      <w:r>
        <w:rPr>
          <w:rFonts w:cs="Abz-2 (Badr)" w:hint="cs"/>
          <w:color w:val="000000" w:themeColor="text1"/>
          <w:sz w:val="28"/>
          <w:szCs w:val="28"/>
          <w:rtl/>
          <w:lang w:bidi="fa-IR"/>
        </w:rPr>
        <w:t>ّ</w:t>
      </w:r>
      <w:r w:rsidRPr="00EA2924">
        <w:rPr>
          <w:rFonts w:cs="Abz-2 (Badr)"/>
          <w:color w:val="000000" w:themeColor="text1"/>
          <w:sz w:val="28"/>
          <w:szCs w:val="28"/>
          <w:rtl/>
          <w:lang w:bidi="fa-IR"/>
        </w:rPr>
        <w:t>ى بالتواتر ونحوه مم</w:t>
      </w:r>
      <w:r>
        <w:rPr>
          <w:rFonts w:cs="Abz-2 (Badr)" w:hint="cs"/>
          <w:color w:val="000000" w:themeColor="text1"/>
          <w:sz w:val="28"/>
          <w:szCs w:val="28"/>
          <w:rtl/>
          <w:lang w:bidi="fa-IR"/>
        </w:rPr>
        <w:t>ّ</w:t>
      </w:r>
      <w:r w:rsidRPr="00EA2924">
        <w:rPr>
          <w:rFonts w:cs="Abz-2 (Badr)"/>
          <w:color w:val="000000" w:themeColor="text1"/>
          <w:sz w:val="28"/>
          <w:szCs w:val="28"/>
          <w:rtl/>
          <w:lang w:bidi="fa-IR"/>
        </w:rPr>
        <w:t>ا ينتهي إلى المشاهدة أيضا بالواسطة</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1614F4BE" w14:textId="77777777" w:rsidR="002829CF" w:rsidRDefault="002829CF"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وجه اشکال مدعای صاحب عروه نيز معلوم می</w:t>
      </w:r>
      <w:r>
        <w:rPr>
          <w:rFonts w:cs="Abz-2 (Badr)"/>
          <w:color w:val="000000" w:themeColor="text1"/>
          <w:sz w:val="28"/>
          <w:szCs w:val="28"/>
          <w:rtl/>
          <w:lang w:bidi="fa-IR"/>
        </w:rPr>
        <w:softHyphen/>
      </w:r>
      <w:r>
        <w:rPr>
          <w:rFonts w:cs="Abz-2 (Badr)" w:hint="cs"/>
          <w:color w:val="000000" w:themeColor="text1"/>
          <w:sz w:val="28"/>
          <w:szCs w:val="28"/>
          <w:rtl/>
          <w:lang w:bidi="fa-IR"/>
        </w:rPr>
        <w:t>شود.</w:t>
      </w:r>
    </w:p>
    <w:p w14:paraId="3CFDD0A6" w14:textId="77777777" w:rsidR="002829CF" w:rsidRDefault="002829CF" w:rsidP="002829C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صاحب العروة في حاشيته علی المکاسب: «</w:t>
      </w:r>
      <w:r w:rsidRPr="00641394">
        <w:rPr>
          <w:rFonts w:cs="Abz-2 (Badr)"/>
          <w:color w:val="000000" w:themeColor="text1"/>
          <w:sz w:val="28"/>
          <w:szCs w:val="28"/>
          <w:rtl/>
          <w:lang w:bidi="fa-IR"/>
        </w:rPr>
        <w:t>قاعدة الغرور من القواعد المحكمة المجمع عليها</w:t>
      </w:r>
      <w:r>
        <w:rPr>
          <w:rFonts w:cs="Abz-2 (Badr)" w:hint="cs"/>
          <w:color w:val="000000" w:themeColor="text1"/>
          <w:sz w:val="28"/>
          <w:szCs w:val="28"/>
          <w:rtl/>
          <w:lang w:bidi="fa-IR"/>
        </w:rPr>
        <w:t>.</w:t>
      </w:r>
      <w:r w:rsidRPr="00641394">
        <w:rPr>
          <w:rFonts w:cs="Abz-2 (Badr)"/>
          <w:color w:val="000000" w:themeColor="text1"/>
          <w:sz w:val="28"/>
          <w:szCs w:val="28"/>
          <w:rtl/>
          <w:lang w:bidi="fa-IR"/>
        </w:rPr>
        <w:t xml:space="preserve"> ولا فرق على الظاهر بين كون الغارّ عالما</w:t>
      </w:r>
      <w:r>
        <w:rPr>
          <w:rFonts w:cs="Abz-2 (Badr)" w:hint="cs"/>
          <w:color w:val="000000" w:themeColor="text1"/>
          <w:sz w:val="28"/>
          <w:szCs w:val="28"/>
          <w:rtl/>
          <w:lang w:bidi="fa-IR"/>
        </w:rPr>
        <w:t>ً</w:t>
      </w:r>
      <w:r w:rsidRPr="00641394">
        <w:rPr>
          <w:rFonts w:cs="Abz-2 (Badr)"/>
          <w:color w:val="000000" w:themeColor="text1"/>
          <w:sz w:val="28"/>
          <w:szCs w:val="28"/>
          <w:rtl/>
          <w:lang w:bidi="fa-IR"/>
        </w:rPr>
        <w:t xml:space="preserve"> أو جاهلا</w:t>
      </w:r>
      <w:r>
        <w:rPr>
          <w:rFonts w:cs="Abz-2 (Badr)" w:hint="cs"/>
          <w:color w:val="000000" w:themeColor="text1"/>
          <w:sz w:val="28"/>
          <w:szCs w:val="28"/>
          <w:rtl/>
          <w:lang w:bidi="fa-IR"/>
        </w:rPr>
        <w:t>ً.</w:t>
      </w:r>
      <w:r w:rsidRPr="00641394">
        <w:rPr>
          <w:rFonts w:cs="Abz-2 (Badr)"/>
          <w:color w:val="000000" w:themeColor="text1"/>
          <w:sz w:val="28"/>
          <w:szCs w:val="28"/>
          <w:rtl/>
          <w:lang w:bidi="fa-IR"/>
        </w:rPr>
        <w:t xml:space="preserve"> وما يحتمل أو يقال من عدم صدق الغرور مع جهل الغارّ كما ترى</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3"/>
      </w:r>
    </w:p>
    <w:p w14:paraId="703A4FE9" w14:textId="39AC2943" w:rsidR="002829CF" w:rsidRPr="002829CF" w:rsidRDefault="002829CF" w:rsidP="002829CF">
      <w:pPr>
        <w:widowControl w:val="0"/>
        <w:bidi/>
        <w:spacing w:after="0" w:line="254" w:lineRule="auto"/>
        <w:ind w:firstLine="284"/>
        <w:jc w:val="both"/>
        <w:rPr>
          <w:rFonts w:cs="Abz-2 (Badr)"/>
          <w:color w:val="000000" w:themeColor="text1"/>
          <w:spacing w:val="-2"/>
          <w:sz w:val="28"/>
          <w:szCs w:val="28"/>
          <w:rtl/>
          <w:lang w:bidi="fa-IR"/>
        </w:rPr>
      </w:pPr>
      <w:r w:rsidRPr="002829CF">
        <w:rPr>
          <w:rFonts w:cs="Abz-2 (Badr)" w:hint="cs"/>
          <w:color w:val="000000" w:themeColor="text1"/>
          <w:spacing w:val="-2"/>
          <w:sz w:val="28"/>
          <w:szCs w:val="28"/>
          <w:rtl/>
          <w:lang w:bidi="fa-IR"/>
        </w:rPr>
        <w:t xml:space="preserve">3 ـ </w:t>
      </w:r>
      <w:r w:rsidR="00C1047A">
        <w:rPr>
          <w:rFonts w:cs="Abz-2 (Badr)" w:hint="cs"/>
          <w:color w:val="000000" w:themeColor="text1"/>
          <w:spacing w:val="-2"/>
          <w:sz w:val="28"/>
          <w:szCs w:val="28"/>
          <w:rtl/>
          <w:lang w:bidi="fa-IR"/>
        </w:rPr>
        <w:t xml:space="preserve">همچنان که گذشت، </w:t>
      </w:r>
      <w:r w:rsidRPr="002829CF">
        <w:rPr>
          <w:rFonts w:cs="Abz-2 (Badr)" w:hint="cs"/>
          <w:color w:val="000000" w:themeColor="text1"/>
          <w:spacing w:val="-2"/>
          <w:sz w:val="28"/>
          <w:szCs w:val="28"/>
          <w:rtl/>
          <w:lang w:bidi="fa-IR"/>
        </w:rPr>
        <w:t>برای اين که مغرور بتواند به غارّ رجوع کند، لازم است که ضرری مستند به غرور متوجه وی بشود به نحوی که غرور کلّ و يا جزء سبب در توجه ضرر به وی باشد و بتوان ادعا کرد که اگر غرور نبود، اين ضرر متوجه وی نمی</w:t>
      </w:r>
      <w:r w:rsidRPr="002829CF">
        <w:rPr>
          <w:rFonts w:cs="Abz-2 (Badr)"/>
          <w:color w:val="000000" w:themeColor="text1"/>
          <w:spacing w:val="-2"/>
          <w:sz w:val="28"/>
          <w:szCs w:val="28"/>
          <w:rtl/>
          <w:lang w:bidi="fa-IR"/>
        </w:rPr>
        <w:softHyphen/>
      </w:r>
      <w:r w:rsidRPr="002829CF">
        <w:rPr>
          <w:rFonts w:cs="Abz-2 (Badr)" w:hint="cs"/>
          <w:color w:val="000000" w:themeColor="text1"/>
          <w:spacing w:val="-2"/>
          <w:sz w:val="28"/>
          <w:szCs w:val="28"/>
          <w:rtl/>
          <w:lang w:bidi="fa-IR"/>
        </w:rPr>
        <w:t>شد.</w:t>
      </w:r>
    </w:p>
    <w:p w14:paraId="321EEE95" w14:textId="77777777" w:rsidR="002829CF" w:rsidRDefault="002829CF" w:rsidP="002829CF">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اگر فردی در صدد خدعه در حق کسی باشد و او را ترغيب به عملی کند که موجب توجه خسارت به وی می</w:t>
      </w:r>
      <w:r>
        <w:rPr>
          <w:rFonts w:cs="Abz-2 (Badr)"/>
          <w:color w:val="000000" w:themeColor="text1"/>
          <w:sz w:val="28"/>
          <w:szCs w:val="28"/>
          <w:rtl/>
          <w:lang w:bidi="fa-IR"/>
        </w:rPr>
        <w:softHyphen/>
      </w:r>
      <w:r>
        <w:rPr>
          <w:rFonts w:cs="Abz-2 (Badr)" w:hint="cs"/>
          <w:color w:val="000000" w:themeColor="text1"/>
          <w:sz w:val="28"/>
          <w:szCs w:val="28"/>
          <w:rtl/>
          <w:lang w:bidi="fa-IR"/>
        </w:rPr>
        <w:t>شود اما فرد دوم علم به واقع داشته باشد و با اين وجود آن عمل را مرتکب بشود، نمی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تواند به شخص اول برای جبران خسارت خود رجوع نمايد، زيرا در اين صورت توجه خسارت به وی مستند به خدعه و غرور شخص اول </w:t>
      </w:r>
      <w:r>
        <w:rPr>
          <w:rFonts w:cs="Abz-2 (Badr)" w:hint="cs"/>
          <w:color w:val="000000" w:themeColor="text1"/>
          <w:sz w:val="28"/>
          <w:szCs w:val="28"/>
          <w:rtl/>
          <w:lang w:bidi="fa-IR"/>
        </w:rPr>
        <w:lastRenderedPageBreak/>
        <w:t>نيست و بلکه در چنين مواردی صدق وقوع خدعه نمی</w:t>
      </w:r>
      <w:r>
        <w:rPr>
          <w:rFonts w:cs="Abz-2 (Badr)"/>
          <w:color w:val="000000" w:themeColor="text1"/>
          <w:sz w:val="28"/>
          <w:szCs w:val="28"/>
          <w:rtl/>
          <w:lang w:bidi="fa-IR"/>
        </w:rPr>
        <w:softHyphen/>
      </w:r>
      <w:r>
        <w:rPr>
          <w:rFonts w:cs="Abz-2 (Badr)" w:hint="cs"/>
          <w:color w:val="000000" w:themeColor="text1"/>
          <w:sz w:val="28"/>
          <w:szCs w:val="28"/>
          <w:rtl/>
          <w:lang w:bidi="fa-IR"/>
        </w:rPr>
        <w:t>شود، زيرا صدق آن منوط بر وجود مخدع و منخدع است، در حالی که با وجود علم در طرف خدعه، انخداعی صورت نمی</w:t>
      </w:r>
      <w:r>
        <w:rPr>
          <w:rFonts w:cs="Abz-2 (Badr)"/>
          <w:color w:val="000000" w:themeColor="text1"/>
          <w:sz w:val="28"/>
          <w:szCs w:val="28"/>
          <w:rtl/>
          <w:lang w:bidi="fa-IR"/>
        </w:rPr>
        <w:softHyphen/>
      </w:r>
      <w:r>
        <w:rPr>
          <w:rFonts w:cs="Abz-2 (Badr)" w:hint="cs"/>
          <w:color w:val="000000" w:themeColor="text1"/>
          <w:sz w:val="28"/>
          <w:szCs w:val="28"/>
          <w:rtl/>
          <w:lang w:bidi="fa-IR"/>
        </w:rPr>
        <w:t>پذيرد.</w:t>
      </w:r>
    </w:p>
    <w:bookmarkEnd w:id="1"/>
    <w:bookmarkEnd w:id="2"/>
    <w:sectPr w:rsidR="002829CF">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67B395CE" w14:textId="77777777" w:rsidR="002829CF" w:rsidRPr="002D27AB" w:rsidRDefault="002829CF" w:rsidP="002829C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رياض،ج15،ص364.</w:t>
      </w:r>
    </w:p>
  </w:footnote>
  <w:footnote w:id="2">
    <w:p w14:paraId="6F86EB35" w14:textId="77777777" w:rsidR="002829CF" w:rsidRPr="002D27AB" w:rsidRDefault="002829CF" w:rsidP="002829C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جواهر،ج41،ص130.</w:t>
      </w:r>
    </w:p>
  </w:footnote>
  <w:footnote w:id="3">
    <w:p w14:paraId="25FA3542" w14:textId="4923AE73" w:rsidR="002829CF" w:rsidRPr="002D27AB" w:rsidRDefault="002829CF" w:rsidP="002829C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 xml:space="preserve">حاشية </w:t>
      </w:r>
      <w:r w:rsidR="00C23C75">
        <w:rPr>
          <w:rFonts w:cs="Abz-2 (Badr)" w:hint="cs"/>
          <w:sz w:val="22"/>
          <w:szCs w:val="22"/>
          <w:rtl/>
        </w:rPr>
        <w:t>المکاسب</w:t>
      </w:r>
      <w:r>
        <w:rPr>
          <w:rFonts w:cs="Abz-2 (Badr)" w:hint="cs"/>
          <w:sz w:val="22"/>
          <w:szCs w:val="22"/>
          <w:rtl/>
        </w:rPr>
        <w:t xml:space="preserve"> للسيّد اليزدي،ج1،ص179.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D0B46"/>
    <w:rsid w:val="000E1CDA"/>
    <w:rsid w:val="000E2156"/>
    <w:rsid w:val="000F2E50"/>
    <w:rsid w:val="00101B80"/>
    <w:rsid w:val="001050A2"/>
    <w:rsid w:val="001420FB"/>
    <w:rsid w:val="00145844"/>
    <w:rsid w:val="00150806"/>
    <w:rsid w:val="0015228E"/>
    <w:rsid w:val="001922E4"/>
    <w:rsid w:val="001D1305"/>
    <w:rsid w:val="001D4A4D"/>
    <w:rsid w:val="0021414D"/>
    <w:rsid w:val="002829CF"/>
    <w:rsid w:val="00295DC1"/>
    <w:rsid w:val="0029688A"/>
    <w:rsid w:val="002A09CF"/>
    <w:rsid w:val="002C7D85"/>
    <w:rsid w:val="002D27AB"/>
    <w:rsid w:val="002E0246"/>
    <w:rsid w:val="00330590"/>
    <w:rsid w:val="00331A5F"/>
    <w:rsid w:val="00335969"/>
    <w:rsid w:val="003361EF"/>
    <w:rsid w:val="003A1222"/>
    <w:rsid w:val="003A199D"/>
    <w:rsid w:val="003C6DBC"/>
    <w:rsid w:val="003E2132"/>
    <w:rsid w:val="00487869"/>
    <w:rsid w:val="004B5767"/>
    <w:rsid w:val="00521235"/>
    <w:rsid w:val="005327C7"/>
    <w:rsid w:val="005532E0"/>
    <w:rsid w:val="005751F1"/>
    <w:rsid w:val="005B6905"/>
    <w:rsid w:val="0060689C"/>
    <w:rsid w:val="00621F9A"/>
    <w:rsid w:val="00625979"/>
    <w:rsid w:val="00690AFD"/>
    <w:rsid w:val="006A4420"/>
    <w:rsid w:val="006B2F35"/>
    <w:rsid w:val="006C580F"/>
    <w:rsid w:val="0070259D"/>
    <w:rsid w:val="00703021"/>
    <w:rsid w:val="00706DD2"/>
    <w:rsid w:val="00731C05"/>
    <w:rsid w:val="007374CF"/>
    <w:rsid w:val="00750FB1"/>
    <w:rsid w:val="00761208"/>
    <w:rsid w:val="00875CD7"/>
    <w:rsid w:val="008869B4"/>
    <w:rsid w:val="008C3DDD"/>
    <w:rsid w:val="008D1155"/>
    <w:rsid w:val="008D55B7"/>
    <w:rsid w:val="008F3842"/>
    <w:rsid w:val="00901208"/>
    <w:rsid w:val="00920965"/>
    <w:rsid w:val="009251BE"/>
    <w:rsid w:val="009364C3"/>
    <w:rsid w:val="00940DC9"/>
    <w:rsid w:val="00943CA6"/>
    <w:rsid w:val="00976371"/>
    <w:rsid w:val="009A3CA7"/>
    <w:rsid w:val="009C1C9D"/>
    <w:rsid w:val="009D42F6"/>
    <w:rsid w:val="009E2B08"/>
    <w:rsid w:val="00A1285F"/>
    <w:rsid w:val="00A17467"/>
    <w:rsid w:val="00A62A68"/>
    <w:rsid w:val="00A75FB0"/>
    <w:rsid w:val="00A840BC"/>
    <w:rsid w:val="00A96A24"/>
    <w:rsid w:val="00AB148E"/>
    <w:rsid w:val="00B33F90"/>
    <w:rsid w:val="00B651F0"/>
    <w:rsid w:val="00B74659"/>
    <w:rsid w:val="00BB28BF"/>
    <w:rsid w:val="00BD6EF3"/>
    <w:rsid w:val="00BE6672"/>
    <w:rsid w:val="00BF5AD9"/>
    <w:rsid w:val="00C004FA"/>
    <w:rsid w:val="00C01832"/>
    <w:rsid w:val="00C05C27"/>
    <w:rsid w:val="00C1047A"/>
    <w:rsid w:val="00C23C75"/>
    <w:rsid w:val="00C8378C"/>
    <w:rsid w:val="00C9359C"/>
    <w:rsid w:val="00C9572F"/>
    <w:rsid w:val="00CA0BC4"/>
    <w:rsid w:val="00CD08A2"/>
    <w:rsid w:val="00CD52E6"/>
    <w:rsid w:val="00D20C84"/>
    <w:rsid w:val="00D22A70"/>
    <w:rsid w:val="00D663C8"/>
    <w:rsid w:val="00D81BE3"/>
    <w:rsid w:val="00D97411"/>
    <w:rsid w:val="00DC37E2"/>
    <w:rsid w:val="00E01FDF"/>
    <w:rsid w:val="00E214D7"/>
    <w:rsid w:val="00E2487C"/>
    <w:rsid w:val="00E55342"/>
    <w:rsid w:val="00E6533A"/>
    <w:rsid w:val="00E749D3"/>
    <w:rsid w:val="00E77A81"/>
    <w:rsid w:val="00ED3BC0"/>
    <w:rsid w:val="00ED7F5C"/>
    <w:rsid w:val="00EE25C0"/>
    <w:rsid w:val="00F46AE2"/>
    <w:rsid w:val="00F46E3E"/>
    <w:rsid w:val="00F5720C"/>
    <w:rsid w:val="00F654C8"/>
    <w:rsid w:val="00F71127"/>
    <w:rsid w:val="00FC64C4"/>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42</cp:revision>
  <cp:lastPrinted>2022-10-24T17:25:00Z</cp:lastPrinted>
  <dcterms:created xsi:type="dcterms:W3CDTF">2022-10-16T08:36:00Z</dcterms:created>
  <dcterms:modified xsi:type="dcterms:W3CDTF">2022-10-25T06:28:00Z</dcterms:modified>
</cp:coreProperties>
</file>