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287B360"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50</w:t>
      </w:r>
      <w:r w:rsidR="000D0B46">
        <w:rPr>
          <w:rFonts w:cs="B Mitra" w:hint="cs"/>
          <w:b/>
          <w:bCs/>
          <w:sz w:val="32"/>
          <w:szCs w:val="32"/>
          <w:rtl/>
          <w:lang w:bidi="fa-IR"/>
        </w:rPr>
        <w:t>2</w:t>
      </w:r>
    </w:p>
    <w:p w14:paraId="327865BE" w14:textId="7B96D614" w:rsidR="000D0B46" w:rsidRDefault="000D0B46" w:rsidP="000D0B46">
      <w:pPr>
        <w:widowControl w:val="0"/>
        <w:bidi/>
        <w:spacing w:after="0"/>
        <w:ind w:firstLine="284"/>
        <w:jc w:val="both"/>
        <w:rPr>
          <w:rFonts w:cs="Abz-2 (Badr)"/>
          <w:sz w:val="28"/>
          <w:szCs w:val="28"/>
          <w:lang w:bidi="fa-IR"/>
        </w:rPr>
      </w:pPr>
      <w:r>
        <w:rPr>
          <w:rFonts w:cs="Abz-2 (Badr)" w:hint="cs"/>
          <w:sz w:val="28"/>
          <w:szCs w:val="28"/>
          <w:rtl/>
          <w:lang w:bidi="fa-IR"/>
        </w:rPr>
        <w:t>ممکن است در دلالت معتبره اسماعيل بن جابر اشکال شود و گفته شود: آنچه در اين روايت آمده است، رجوع موالی وليده به غارّ است و اين مطلب با آنچه که ما در اين قاعده در صدد بيان آن هستيم که جواز رجوع مغرور به غارّ است متفاوت است، فلذا استناد به آن در ما نحن فيه صحيح نيست.</w:t>
      </w:r>
    </w:p>
    <w:p w14:paraId="16BEB022" w14:textId="5079D7FE" w:rsidR="00F654C8" w:rsidRDefault="00F654C8" w:rsidP="00F654C8">
      <w:pPr>
        <w:widowControl w:val="0"/>
        <w:bidi/>
        <w:spacing w:after="0" w:line="262" w:lineRule="auto"/>
        <w:ind w:firstLine="284"/>
        <w:jc w:val="both"/>
        <w:rPr>
          <w:rFonts w:cs="Abz-2 (Badr)"/>
          <w:sz w:val="28"/>
          <w:szCs w:val="28"/>
          <w:rtl/>
          <w:lang w:bidi="fa-IR"/>
        </w:rPr>
      </w:pPr>
      <w:bookmarkStart w:id="0" w:name="_Hlk117414211"/>
      <w:r>
        <w:rPr>
          <w:rFonts w:cs="Abz-2 (Badr)" w:hint="cs"/>
          <w:sz w:val="28"/>
          <w:szCs w:val="28"/>
          <w:rtl/>
          <w:lang w:bidi="fa-IR"/>
        </w:rPr>
        <w:t>اما پاسخ اين است که با توجه به تعليلی که در روايت آمده است مبنی بر اين که مزوّج چون خدعه کرده بايد پول را به موالی بدهد، می</w:t>
      </w:r>
      <w:r>
        <w:rPr>
          <w:rFonts w:cs="Abz-2 (Badr)"/>
          <w:sz w:val="28"/>
          <w:szCs w:val="28"/>
          <w:rtl/>
          <w:lang w:bidi="fa-IR"/>
        </w:rPr>
        <w:softHyphen/>
      </w:r>
      <w:r>
        <w:rPr>
          <w:rFonts w:cs="Abz-2 (Badr)" w:hint="cs"/>
          <w:sz w:val="28"/>
          <w:szCs w:val="28"/>
          <w:rtl/>
          <w:lang w:bidi="fa-IR"/>
        </w:rPr>
        <w:t>توان فهميد که وجه رجوع موالی به مزوّج اين است که اگرچه متلفِ منفعتِ امه، زوج بوده و علی القاعده عوض آن بايد از وی مطالبه گردد، ولی چون زوج پس از پرداخت قيمت ولد به موالی می</w:t>
      </w:r>
      <w:r>
        <w:rPr>
          <w:rFonts w:cs="Abz-2 (Badr)"/>
          <w:sz w:val="28"/>
          <w:szCs w:val="28"/>
          <w:rtl/>
          <w:lang w:bidi="fa-IR"/>
        </w:rPr>
        <w:softHyphen/>
      </w:r>
      <w:r>
        <w:rPr>
          <w:rFonts w:cs="Abz-2 (Badr)" w:hint="cs"/>
          <w:sz w:val="28"/>
          <w:szCs w:val="28"/>
          <w:rtl/>
          <w:lang w:bidi="fa-IR"/>
        </w:rPr>
        <w:t>تواند به جهت خدعه</w:t>
      </w:r>
      <w:r>
        <w:rPr>
          <w:rFonts w:cs="Abz-2 (Badr)"/>
          <w:sz w:val="28"/>
          <w:szCs w:val="28"/>
          <w:rtl/>
          <w:lang w:bidi="fa-IR"/>
        </w:rPr>
        <w:softHyphen/>
      </w:r>
      <w:r>
        <w:rPr>
          <w:rFonts w:cs="Abz-2 (Badr)" w:hint="cs"/>
          <w:sz w:val="28"/>
          <w:szCs w:val="28"/>
          <w:rtl/>
          <w:lang w:bidi="fa-IR"/>
        </w:rPr>
        <w:t>ای که مزوّج کرده به وی رجوع کرده و پولی را که به موالی پرداخت کرده از وی مطالبه نمايد، بنابر اين مزوّج می</w:t>
      </w:r>
      <w:r>
        <w:rPr>
          <w:rFonts w:cs="Abz-2 (Badr)"/>
          <w:sz w:val="28"/>
          <w:szCs w:val="28"/>
          <w:rtl/>
          <w:lang w:bidi="fa-IR"/>
        </w:rPr>
        <w:softHyphen/>
      </w:r>
      <w:r>
        <w:rPr>
          <w:rFonts w:cs="Abz-2 (Badr)" w:hint="cs"/>
          <w:sz w:val="28"/>
          <w:szCs w:val="28"/>
          <w:rtl/>
          <w:lang w:bidi="fa-IR"/>
        </w:rPr>
        <w:t>تواند بدون اين که زوج را واسطه قرار دهد خود مستقيماً قيمت را به موالی پرداخت نمايد. مؤيّد اين مطلب نيز اين است که آنچه که در روايت آمده، حقّ موالی برای دريافت قيمت از مزوّج نيست، بلکه وجوب دفع قيمت از جانب مزوّج به موالی است که با استقرار ضمان بر عهده غارّ بدون اين که حقی برای خسارت ديده برای رجوع ابتدائی به غارّ ايجاد شود ـ که مطابق با مقتضای قاعده غرور است ـ سازگار است.</w:t>
      </w:r>
    </w:p>
    <w:p w14:paraId="2C77B323" w14:textId="77777777" w:rsidR="00F654C8" w:rsidRDefault="00F654C8" w:rsidP="00F654C8">
      <w:pPr>
        <w:widowControl w:val="0"/>
        <w:bidi/>
        <w:spacing w:after="0" w:line="262" w:lineRule="auto"/>
        <w:ind w:firstLine="284"/>
        <w:jc w:val="both"/>
        <w:rPr>
          <w:rFonts w:cs="Abz-2 (Badr)"/>
          <w:sz w:val="28"/>
          <w:szCs w:val="28"/>
          <w:rtl/>
          <w:lang w:bidi="fa-IR"/>
        </w:rPr>
      </w:pPr>
      <w:r>
        <w:rPr>
          <w:rFonts w:cs="Abz-2 (Badr)" w:hint="cs"/>
          <w:sz w:val="28"/>
          <w:szCs w:val="28"/>
          <w:rtl/>
          <w:lang w:bidi="fa-IR"/>
        </w:rPr>
        <w:t>دليل اين توجيه نيز اين است که اگر اين گونه گفته نشود، بايد قائل شويم که خدعه مزوّج سبب اقوی بودن سبب از مباشر می</w:t>
      </w:r>
      <w:r>
        <w:rPr>
          <w:rFonts w:cs="Abz-2 (Badr)"/>
          <w:sz w:val="28"/>
          <w:szCs w:val="28"/>
          <w:rtl/>
          <w:lang w:bidi="fa-IR"/>
        </w:rPr>
        <w:softHyphen/>
      </w:r>
      <w:r>
        <w:rPr>
          <w:rFonts w:cs="Abz-2 (Badr)" w:hint="cs"/>
          <w:sz w:val="28"/>
          <w:szCs w:val="28"/>
          <w:rtl/>
          <w:lang w:bidi="fa-IR"/>
        </w:rPr>
        <w:t>شود و در نتيجه موالی می</w:t>
      </w:r>
      <w:r>
        <w:rPr>
          <w:rFonts w:cs="Abz-2 (Badr)"/>
          <w:sz w:val="28"/>
          <w:szCs w:val="28"/>
          <w:rtl/>
          <w:lang w:bidi="fa-IR"/>
        </w:rPr>
        <w:softHyphen/>
      </w:r>
      <w:r>
        <w:rPr>
          <w:rFonts w:cs="Abz-2 (Badr)" w:hint="cs"/>
          <w:sz w:val="28"/>
          <w:szCs w:val="28"/>
          <w:rtl/>
          <w:lang w:bidi="fa-IR"/>
        </w:rPr>
        <w:t>توانند به واسطه قاعده تسبيب به او مراجعه کنند، در حالی که وجهی برای اين مدعا نيست و نمی</w:t>
      </w:r>
      <w:r>
        <w:rPr>
          <w:rFonts w:cs="Abz-2 (Badr)"/>
          <w:sz w:val="28"/>
          <w:szCs w:val="28"/>
          <w:rtl/>
          <w:lang w:bidi="fa-IR"/>
        </w:rPr>
        <w:softHyphen/>
      </w:r>
      <w:r>
        <w:rPr>
          <w:rFonts w:cs="Abz-2 (Badr)" w:hint="cs"/>
          <w:sz w:val="28"/>
          <w:szCs w:val="28"/>
          <w:rtl/>
          <w:lang w:bidi="fa-IR"/>
        </w:rPr>
        <w:t>توان مجرّد خدعه را سبب قوّت عرفی سبب بر مباشر دانست.</w:t>
      </w:r>
    </w:p>
    <w:p w14:paraId="072014B1" w14:textId="435136D3" w:rsidR="00F654C8" w:rsidRDefault="00F654C8" w:rsidP="00F654C8">
      <w:pPr>
        <w:widowControl w:val="0"/>
        <w:bidi/>
        <w:spacing w:after="0" w:line="262" w:lineRule="auto"/>
        <w:ind w:firstLine="284"/>
        <w:jc w:val="both"/>
        <w:rPr>
          <w:rFonts w:cs="Abz-2 (Badr)"/>
          <w:sz w:val="28"/>
          <w:szCs w:val="28"/>
          <w:rtl/>
          <w:lang w:bidi="fa-IR"/>
        </w:rPr>
      </w:pPr>
      <w:r>
        <w:rPr>
          <w:rFonts w:cs="Abz-2 (Badr)" w:hint="cs"/>
          <w:sz w:val="28"/>
          <w:szCs w:val="28"/>
          <w:rtl/>
          <w:lang w:bidi="fa-IR"/>
        </w:rPr>
        <w:t xml:space="preserve">اما اين که </w:t>
      </w:r>
      <w:r w:rsidR="00ED3BC0">
        <w:rPr>
          <w:rFonts w:cs="Abz-2 (Badr)" w:hint="cs"/>
          <w:sz w:val="28"/>
          <w:szCs w:val="28"/>
          <w:rtl/>
          <w:lang w:bidi="fa-IR"/>
        </w:rPr>
        <w:t>ادعا</w:t>
      </w:r>
      <w:r>
        <w:rPr>
          <w:rFonts w:cs="Abz-2 (Badr)" w:hint="cs"/>
          <w:sz w:val="28"/>
          <w:szCs w:val="28"/>
          <w:rtl/>
          <w:lang w:bidi="fa-IR"/>
        </w:rPr>
        <w:t xml:space="preserve"> شود: مزوّج چون غاصب بوده است موالی حق رجوع به وی را دارند اولاً: با تعليل مذکور سازگار نيست ـ چون در اين صورت بايد رجوع موالی به مزوّج بايد مستند به يد عدوانی وی شود نه به خدعه او در حق زوج ـ و ثانياً: در خصوص نماءات منفصله</w:t>
      </w:r>
      <w:r>
        <w:rPr>
          <w:rFonts w:cs="Abz-2 (Badr)"/>
          <w:sz w:val="28"/>
          <w:szCs w:val="28"/>
          <w:rtl/>
          <w:lang w:bidi="fa-IR"/>
        </w:rPr>
        <w:softHyphen/>
      </w:r>
      <w:r>
        <w:rPr>
          <w:rFonts w:cs="Abz-2 (Badr)" w:hint="cs"/>
          <w:sz w:val="28"/>
          <w:szCs w:val="28"/>
          <w:rtl/>
          <w:lang w:bidi="fa-IR"/>
        </w:rPr>
        <w:t>ای که غاصب بر آنها يدی نداشته است و توسط غير او تلف شده است، وجهی برای ضمان غاصب به جهت قاعده يد وجود ندارد.</w:t>
      </w:r>
    </w:p>
    <w:p w14:paraId="74C68F02" w14:textId="77777777" w:rsidR="00F654C8" w:rsidRDefault="00F654C8" w:rsidP="00F654C8">
      <w:pPr>
        <w:widowControl w:val="0"/>
        <w:bidi/>
        <w:spacing w:after="0" w:line="257" w:lineRule="auto"/>
        <w:ind w:firstLine="284"/>
        <w:jc w:val="both"/>
        <w:rPr>
          <w:rFonts w:cs="Abz-2 (Badr)"/>
          <w:color w:val="000000" w:themeColor="text1"/>
          <w:sz w:val="28"/>
          <w:szCs w:val="28"/>
          <w:rtl/>
          <w:lang w:bidi="fa-IR"/>
        </w:rPr>
      </w:pPr>
      <w:bookmarkStart w:id="1" w:name="_Hlk117369568"/>
      <w:r>
        <w:rPr>
          <w:rFonts w:cs="Abz-2 (Badr)" w:hint="cs"/>
          <w:color w:val="000000" w:themeColor="text1"/>
          <w:sz w:val="28"/>
          <w:szCs w:val="28"/>
          <w:rtl/>
          <w:lang w:bidi="fa-IR"/>
        </w:rPr>
        <w:t>ومنها: حسنة أو موثّقة أبي بصير عن أبي عبدالله(ع): «</w:t>
      </w:r>
      <w:r w:rsidRPr="00534C83">
        <w:rPr>
          <w:rFonts w:cs="Abz-2 (Badr)"/>
          <w:color w:val="000000" w:themeColor="text1"/>
          <w:sz w:val="28"/>
          <w:szCs w:val="28"/>
          <w:rtl/>
          <w:lang w:bidi="fa-IR"/>
        </w:rPr>
        <w:t>في امرأة‌ شهد عندها شاهدان‌ بأنّ‌ زوجها مات‌ فتزوّجت‌ ثمّ‌ جاء‌ زوجها الأوّل‌</w:t>
      </w:r>
      <w:r>
        <w:rPr>
          <w:rFonts w:cs="Abz-2 (Badr)" w:hint="cs"/>
          <w:color w:val="000000" w:themeColor="text1"/>
          <w:sz w:val="28"/>
          <w:szCs w:val="28"/>
          <w:rtl/>
          <w:lang w:bidi="fa-IR"/>
        </w:rPr>
        <w:t>؟</w:t>
      </w:r>
      <w:r w:rsidRPr="003F70D5">
        <w:rPr>
          <w:rFonts w:cs="Abz-2 (Badr)" w:hint="cs"/>
          <w:color w:val="000000" w:themeColor="text1"/>
          <w:sz w:val="28"/>
          <w:szCs w:val="28"/>
          <w:rtl/>
          <w:lang w:bidi="fa-IR"/>
        </w:rPr>
        <w:t xml:space="preserve"> </w:t>
      </w:r>
      <w:r w:rsidRPr="00534C83">
        <w:rPr>
          <w:rFonts w:cs="Abz-2 (Badr)"/>
          <w:color w:val="000000" w:themeColor="text1"/>
          <w:sz w:val="28"/>
          <w:szCs w:val="28"/>
          <w:rtl/>
          <w:lang w:bidi="fa-IR"/>
        </w:rPr>
        <w:t>قال</w:t>
      </w:r>
      <w:r>
        <w:rPr>
          <w:rFonts w:cs="Abz-2 (Badr)" w:hint="cs"/>
          <w:color w:val="000000" w:themeColor="text1"/>
          <w:sz w:val="28"/>
          <w:szCs w:val="28"/>
          <w:rtl/>
          <w:lang w:bidi="fa-IR"/>
        </w:rPr>
        <w:t xml:space="preserve">: </w:t>
      </w:r>
      <w:r w:rsidRPr="00534C83">
        <w:rPr>
          <w:rFonts w:cs="Abz-2 (Badr)"/>
          <w:color w:val="000000" w:themeColor="text1"/>
          <w:sz w:val="28"/>
          <w:szCs w:val="28"/>
          <w:rtl/>
          <w:lang w:bidi="fa-IR"/>
        </w:rPr>
        <w:t>لها المهر بما استحلّ‌ من‌ فرجها الأخير</w:t>
      </w:r>
      <w:r>
        <w:rPr>
          <w:rFonts w:cs="Abz-2 (Badr)" w:hint="cs"/>
          <w:color w:val="000000" w:themeColor="text1"/>
          <w:sz w:val="28"/>
          <w:szCs w:val="28"/>
          <w:rtl/>
          <w:lang w:bidi="fa-IR"/>
        </w:rPr>
        <w:t>،</w:t>
      </w:r>
      <w:r w:rsidRPr="00534C83">
        <w:rPr>
          <w:rFonts w:cs="Abz-2 (Badr)"/>
          <w:color w:val="000000" w:themeColor="text1"/>
          <w:sz w:val="28"/>
          <w:szCs w:val="28"/>
          <w:rtl/>
          <w:lang w:bidi="fa-IR"/>
        </w:rPr>
        <w:t xml:space="preserve"> ويضرب‌ الشاهدان‌ الحدّ ويضمّنان‌ المهر بما غرّا الرجل‌ ثمّ‌ تعتدّ وترجع‌ إلى زوجها الأوّل‌</w:t>
      </w:r>
      <w:r>
        <w:rPr>
          <w:rFonts w:cs="Abz-2 (Badr)" w:hint="cs"/>
          <w:color w:val="000000" w:themeColor="text1"/>
          <w:sz w:val="28"/>
          <w:szCs w:val="28"/>
          <w:rtl/>
          <w:lang w:bidi="fa-IR"/>
        </w:rPr>
        <w:t>.</w:t>
      </w:r>
      <w:r w:rsidRPr="00534C83">
        <w:rPr>
          <w:rFonts w:cs="Abz-2 (Badr)"/>
          <w:color w:val="000000" w:themeColor="text1"/>
          <w:sz w:val="28"/>
          <w:szCs w:val="28"/>
          <w:rtl/>
          <w:lang w:bidi="fa-IR"/>
        </w:rPr>
        <w:t>»</w:t>
      </w:r>
      <w:r w:rsidRPr="002D27AB">
        <w:rPr>
          <w:rStyle w:val="FootnoteReference"/>
          <w:rFonts w:cs="Abz-2 (Badr)"/>
          <w:sz w:val="28"/>
          <w:szCs w:val="28"/>
          <w:rtl/>
          <w:lang w:bidi="fa-IR"/>
        </w:rPr>
        <w:footnoteReference w:id="1"/>
      </w:r>
    </w:p>
    <w:p w14:paraId="00692F39" w14:textId="77777777" w:rsidR="00F654C8" w:rsidRDefault="00F654C8" w:rsidP="00F654C8">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دلالت اين روايت نيز بر علّيّت غرور برای ضمان غارّ آشکار است.</w:t>
      </w:r>
      <w:bookmarkEnd w:id="1"/>
    </w:p>
    <w:p w14:paraId="5E455BF9" w14:textId="77777777" w:rsidR="00F654C8" w:rsidRDefault="00F654C8" w:rsidP="00F654C8">
      <w:pPr>
        <w:widowControl w:val="0"/>
        <w:bidi/>
        <w:spacing w:after="0" w:line="257" w:lineRule="auto"/>
        <w:ind w:firstLine="284"/>
        <w:jc w:val="both"/>
        <w:rPr>
          <w:rFonts w:cs="Abz-2 (Badr)"/>
          <w:spacing w:val="-4"/>
          <w:sz w:val="28"/>
          <w:szCs w:val="28"/>
          <w:rtl/>
        </w:rPr>
      </w:pPr>
      <w:r>
        <w:rPr>
          <w:rFonts w:cs="Abz-2 (Badr)" w:hint="cs"/>
          <w:spacing w:val="-4"/>
          <w:sz w:val="28"/>
          <w:szCs w:val="28"/>
          <w:rtl/>
        </w:rPr>
        <w:t>3 ـ بناء عقلاء</w:t>
      </w:r>
    </w:p>
    <w:p w14:paraId="25E63720" w14:textId="77777777" w:rsidR="00F654C8" w:rsidRDefault="00F654C8" w:rsidP="00F654C8">
      <w:pPr>
        <w:widowControl w:val="0"/>
        <w:bidi/>
        <w:spacing w:after="0" w:line="257" w:lineRule="auto"/>
        <w:ind w:firstLine="284"/>
        <w:jc w:val="both"/>
        <w:rPr>
          <w:rFonts w:cs="Abz-2 (Badr)"/>
          <w:spacing w:val="-4"/>
          <w:sz w:val="28"/>
          <w:szCs w:val="28"/>
          <w:rtl/>
        </w:rPr>
      </w:pPr>
      <w:r>
        <w:rPr>
          <w:rFonts w:cs="Abz-2 (Badr)" w:hint="cs"/>
          <w:spacing w:val="-4"/>
          <w:sz w:val="28"/>
          <w:szCs w:val="28"/>
          <w:rtl/>
        </w:rPr>
        <w:t>ادله</w:t>
      </w:r>
      <w:r>
        <w:rPr>
          <w:rFonts w:cs="Abz-2 (Badr)"/>
          <w:spacing w:val="-4"/>
          <w:sz w:val="28"/>
          <w:szCs w:val="28"/>
          <w:rtl/>
        </w:rPr>
        <w:softHyphen/>
      </w:r>
      <w:r>
        <w:rPr>
          <w:rFonts w:cs="Abz-2 (Badr)" w:hint="cs"/>
          <w:spacing w:val="-4"/>
          <w:sz w:val="28"/>
          <w:szCs w:val="28"/>
          <w:rtl/>
        </w:rPr>
        <w:t>ای که در خصوص ضمانات وارد شده</w:t>
      </w:r>
      <w:r>
        <w:rPr>
          <w:rFonts w:cs="Abz-2 (Badr)"/>
          <w:spacing w:val="-4"/>
          <w:sz w:val="28"/>
          <w:szCs w:val="28"/>
          <w:rtl/>
        </w:rPr>
        <w:softHyphen/>
      </w:r>
      <w:r>
        <w:rPr>
          <w:rFonts w:cs="Abz-2 (Badr)" w:hint="cs"/>
          <w:spacing w:val="-4"/>
          <w:sz w:val="28"/>
          <w:szCs w:val="28"/>
          <w:rtl/>
        </w:rPr>
        <w:t>اند، در واقع امضاء سيره عقلاء در ضمانات هستند و هيچ يک تأسيسی نيستند و همان گونه که اتلاف و يد در نزد عقلاء موجب ضمان هستند و شارع نيز سببيت آنها برای ضمان را با ادله شرعی امضاء کرده است، مدعا اين است که غرور نيز در نزد عقلاء از اسباب ضمان است و آنچه که در ادله وارد شده است، چيزی بجز امضاء همين سيره نيست.</w:t>
      </w:r>
    </w:p>
    <w:p w14:paraId="0BDD9C6C" w14:textId="77777777" w:rsidR="00F654C8" w:rsidRDefault="00F654C8" w:rsidP="00F654C8">
      <w:pPr>
        <w:widowControl w:val="0"/>
        <w:bidi/>
        <w:spacing w:after="0" w:line="257" w:lineRule="auto"/>
        <w:ind w:firstLine="284"/>
        <w:jc w:val="both"/>
        <w:rPr>
          <w:rFonts w:cs="Abz-2 (Badr)"/>
          <w:spacing w:val="-4"/>
          <w:sz w:val="28"/>
          <w:szCs w:val="28"/>
          <w:rtl/>
        </w:rPr>
      </w:pPr>
      <w:r>
        <w:rPr>
          <w:rFonts w:cs="Abz-2 (Badr)" w:hint="cs"/>
          <w:spacing w:val="-4"/>
          <w:sz w:val="28"/>
          <w:szCs w:val="28"/>
          <w:rtl/>
        </w:rPr>
        <w:t>بلکه حتی بنابر اين که دلالت اين ادله را بر امضاء سيره عقلاء نپذيريم، همين که از جانب شرع مانع و رادعی برای عمل به اين سيره وارد نشده است، برای اعتبار و حجيت آن کفايت می</w:t>
      </w:r>
      <w:r>
        <w:rPr>
          <w:rFonts w:cs="Abz-2 (Badr)"/>
          <w:spacing w:val="-4"/>
          <w:sz w:val="28"/>
          <w:szCs w:val="28"/>
          <w:rtl/>
        </w:rPr>
        <w:softHyphen/>
      </w:r>
      <w:r>
        <w:rPr>
          <w:rFonts w:cs="Abz-2 (Badr)" w:hint="cs"/>
          <w:spacing w:val="-4"/>
          <w:sz w:val="28"/>
          <w:szCs w:val="28"/>
          <w:rtl/>
        </w:rPr>
        <w:t>کند.</w:t>
      </w:r>
    </w:p>
    <w:p w14:paraId="4FC68DE3" w14:textId="77777777" w:rsidR="00F654C8" w:rsidRDefault="00F654C8" w:rsidP="00F654C8">
      <w:pPr>
        <w:widowControl w:val="0"/>
        <w:bidi/>
        <w:spacing w:after="0" w:line="257" w:lineRule="auto"/>
        <w:ind w:firstLine="284"/>
        <w:jc w:val="both"/>
        <w:rPr>
          <w:rFonts w:cs="Abz-2 (Badr)"/>
          <w:sz w:val="28"/>
          <w:szCs w:val="28"/>
          <w:rtl/>
        </w:rPr>
      </w:pPr>
      <w:bookmarkStart w:id="2" w:name="_Hlk117452648"/>
      <w:r w:rsidRPr="00703202">
        <w:rPr>
          <w:rFonts w:cs="Abz-2 (Badr)" w:hint="cs"/>
          <w:sz w:val="28"/>
          <w:szCs w:val="28"/>
          <w:rtl/>
        </w:rPr>
        <w:t>البته بايد دقت داشت که حکم عقلاء به ضمان از جهت تسبيب، متفاوت از حکم آنها به ضمان از جهت غرور است، زيرا</w:t>
      </w:r>
      <w:r>
        <w:rPr>
          <w:rFonts w:cs="Abz-2 (Badr)" w:hint="cs"/>
          <w:sz w:val="28"/>
          <w:szCs w:val="28"/>
          <w:rtl/>
        </w:rPr>
        <w:t xml:space="preserve"> ـ </w:t>
      </w:r>
      <w:r w:rsidRPr="00703202">
        <w:rPr>
          <w:rFonts w:cs="Abz-2 (Badr)" w:hint="cs"/>
          <w:sz w:val="28"/>
          <w:szCs w:val="28"/>
          <w:rtl/>
        </w:rPr>
        <w:t xml:space="preserve">همان گونه که در کلمات شيخ </w:t>
      </w:r>
      <w:r>
        <w:rPr>
          <w:rFonts w:cs="Abz-2 (Badr)" w:hint="cs"/>
          <w:sz w:val="28"/>
          <w:szCs w:val="28"/>
          <w:rtl/>
        </w:rPr>
        <w:t xml:space="preserve">نيز </w:t>
      </w:r>
      <w:r w:rsidRPr="00703202">
        <w:rPr>
          <w:rFonts w:cs="Abz-2 (Badr)" w:hint="cs"/>
          <w:sz w:val="28"/>
          <w:szCs w:val="28"/>
          <w:rtl/>
        </w:rPr>
        <w:t xml:space="preserve">گذشت </w:t>
      </w:r>
      <w:r>
        <w:rPr>
          <w:rFonts w:cs="Abz-2 (Badr)" w:hint="cs"/>
          <w:sz w:val="28"/>
          <w:szCs w:val="28"/>
          <w:rtl/>
        </w:rPr>
        <w:t xml:space="preserve">ـ </w:t>
      </w:r>
      <w:r w:rsidRPr="00703202">
        <w:rPr>
          <w:rFonts w:cs="Abz-2 (Badr)" w:hint="cs"/>
          <w:sz w:val="28"/>
          <w:szCs w:val="28"/>
          <w:rtl/>
        </w:rPr>
        <w:t>در مورد اول، حکم به ضمان منوط بر اقوی بودن سبب از مباشر در نزد عرف است به نحوی که مباشر در حکم آلت و بلا اختيار در نظر گرفته می</w:t>
      </w:r>
      <w:r w:rsidRPr="00703202">
        <w:rPr>
          <w:rFonts w:cs="Abz-2 (Badr)"/>
          <w:sz w:val="28"/>
          <w:szCs w:val="28"/>
          <w:rtl/>
        </w:rPr>
        <w:softHyphen/>
      </w:r>
      <w:r w:rsidRPr="00703202">
        <w:rPr>
          <w:rFonts w:cs="Abz-2 (Badr)" w:hint="cs"/>
          <w:sz w:val="28"/>
          <w:szCs w:val="28"/>
          <w:rtl/>
        </w:rPr>
        <w:t>شود و فعلی که از او صادر شده است عرفاً به سبب اسناد داده می</w:t>
      </w:r>
      <w:r w:rsidRPr="00703202">
        <w:rPr>
          <w:rFonts w:cs="Abz-2 (Badr)"/>
          <w:sz w:val="28"/>
          <w:szCs w:val="28"/>
          <w:rtl/>
        </w:rPr>
        <w:softHyphen/>
      </w:r>
      <w:r w:rsidRPr="00703202">
        <w:rPr>
          <w:rFonts w:cs="Abz-2 (Badr)" w:hint="cs"/>
          <w:sz w:val="28"/>
          <w:szCs w:val="28"/>
          <w:rtl/>
        </w:rPr>
        <w:t>شود، و در نتيجه کسی که خسارتی به وی وارد شده است مستقيماً به سبب مراجعه می</w:t>
      </w:r>
      <w:r w:rsidRPr="00703202">
        <w:rPr>
          <w:rFonts w:cs="Abz-2 (Badr)"/>
          <w:sz w:val="28"/>
          <w:szCs w:val="28"/>
          <w:rtl/>
        </w:rPr>
        <w:softHyphen/>
      </w:r>
      <w:r w:rsidRPr="00703202">
        <w:rPr>
          <w:rFonts w:cs="Abz-2 (Badr)" w:hint="cs"/>
          <w:sz w:val="28"/>
          <w:szCs w:val="28"/>
          <w:rtl/>
        </w:rPr>
        <w:t>کند و حق مراجعه به مباشر را ندارد. در حالی که در بحث ضمان از باب قاعده غرور، فعل صادر از مغ</w:t>
      </w:r>
      <w:r>
        <w:rPr>
          <w:rFonts w:cs="Abz-2 (Badr)" w:hint="cs"/>
          <w:sz w:val="28"/>
          <w:szCs w:val="28"/>
          <w:rtl/>
        </w:rPr>
        <w:t>ر</w:t>
      </w:r>
      <w:r w:rsidRPr="00703202">
        <w:rPr>
          <w:rFonts w:cs="Abz-2 (Badr)" w:hint="cs"/>
          <w:sz w:val="28"/>
          <w:szCs w:val="28"/>
          <w:rtl/>
        </w:rPr>
        <w:t>ور به خود وی انتساب دارد و اگر کسی از اين جهت خسارتی ديد، حق مراجعه به غار</w:t>
      </w:r>
      <w:r>
        <w:rPr>
          <w:rFonts w:cs="Abz-2 (Badr)" w:hint="cs"/>
          <w:sz w:val="28"/>
          <w:szCs w:val="28"/>
          <w:rtl/>
        </w:rPr>
        <w:t>ّ</w:t>
      </w:r>
      <w:r w:rsidRPr="00703202">
        <w:rPr>
          <w:rFonts w:cs="Abz-2 (Badr)" w:hint="cs"/>
          <w:sz w:val="28"/>
          <w:szCs w:val="28"/>
          <w:rtl/>
        </w:rPr>
        <w:t xml:space="preserve"> را ندارد بلکه بايد به مغرور مراجعه نمايد و مراجعه به غارّ حق</w:t>
      </w:r>
      <w:r>
        <w:rPr>
          <w:rFonts w:cs="Abz-2 (Badr)" w:hint="cs"/>
          <w:sz w:val="28"/>
          <w:szCs w:val="28"/>
          <w:rtl/>
        </w:rPr>
        <w:t>ّ</w:t>
      </w:r>
      <w:r w:rsidRPr="00703202">
        <w:rPr>
          <w:rFonts w:cs="Abz-2 (Badr)" w:hint="cs"/>
          <w:sz w:val="28"/>
          <w:szCs w:val="28"/>
          <w:rtl/>
        </w:rPr>
        <w:t xml:space="preserve"> مغرور است.</w:t>
      </w:r>
    </w:p>
    <w:p w14:paraId="0F3E0F37" w14:textId="77777777" w:rsidR="00F654C8" w:rsidRPr="00703202" w:rsidRDefault="00F654C8" w:rsidP="00F654C8">
      <w:pPr>
        <w:widowControl w:val="0"/>
        <w:bidi/>
        <w:spacing w:after="0" w:line="257" w:lineRule="auto"/>
        <w:ind w:firstLine="284"/>
        <w:jc w:val="both"/>
        <w:rPr>
          <w:rFonts w:cs="Abz-2 (Badr)"/>
          <w:spacing w:val="-6"/>
          <w:sz w:val="28"/>
          <w:szCs w:val="28"/>
          <w:rtl/>
        </w:rPr>
      </w:pPr>
      <w:r w:rsidRPr="00703202">
        <w:rPr>
          <w:rFonts w:cs="Abz-2 (Badr)" w:hint="cs"/>
          <w:spacing w:val="-6"/>
          <w:sz w:val="28"/>
          <w:szCs w:val="28"/>
          <w:rtl/>
        </w:rPr>
        <w:t>به عبارت ديگر بنابر قاعده غرور، تنها کسی که حق مراجعه به غارّ را دارد، مغروری است که زيانی متوجه او شده است.</w:t>
      </w:r>
    </w:p>
    <w:p w14:paraId="5ADA6AF9" w14:textId="77777777" w:rsidR="00F654C8" w:rsidRDefault="00F654C8" w:rsidP="00F654C8">
      <w:pPr>
        <w:widowControl w:val="0"/>
        <w:bidi/>
        <w:spacing w:after="0" w:line="257" w:lineRule="auto"/>
        <w:ind w:firstLine="284"/>
        <w:jc w:val="both"/>
        <w:rPr>
          <w:rFonts w:cs="Abz-2 (Badr)"/>
          <w:sz w:val="28"/>
          <w:szCs w:val="28"/>
          <w:rtl/>
        </w:rPr>
      </w:pPr>
      <w:r w:rsidRPr="00703202">
        <w:rPr>
          <w:rFonts w:cs="Abz-2 (Badr)" w:hint="cs"/>
          <w:sz w:val="28"/>
          <w:szCs w:val="28"/>
          <w:rtl/>
        </w:rPr>
        <w:t xml:space="preserve">بنابر اين اگر در مواردی گفته شود که کسی که دچار خسارت شده حق مراجعه به غار را دارد، از باب قاعده غرور </w:t>
      </w:r>
      <w:r>
        <w:rPr>
          <w:rFonts w:cs="Abz-2 (Badr)" w:hint="cs"/>
          <w:sz w:val="28"/>
          <w:szCs w:val="28"/>
          <w:rtl/>
        </w:rPr>
        <w:t>ن</w:t>
      </w:r>
      <w:r w:rsidRPr="00703202">
        <w:rPr>
          <w:rFonts w:cs="Abz-2 (Badr)" w:hint="cs"/>
          <w:sz w:val="28"/>
          <w:szCs w:val="28"/>
          <w:rtl/>
        </w:rPr>
        <w:t>می</w:t>
      </w:r>
      <w:r w:rsidRPr="00703202">
        <w:rPr>
          <w:rFonts w:cs="Abz-2 (Badr)"/>
          <w:sz w:val="28"/>
          <w:szCs w:val="28"/>
          <w:rtl/>
        </w:rPr>
        <w:softHyphen/>
      </w:r>
      <w:r w:rsidRPr="00703202">
        <w:rPr>
          <w:rFonts w:cs="Abz-2 (Badr)" w:hint="cs"/>
          <w:sz w:val="28"/>
          <w:szCs w:val="28"/>
          <w:rtl/>
        </w:rPr>
        <w:t>تواند باشد، بلکه مستند ديگری مثل قاعده تسبيب يا قاعده يد و امثال آن بايد برای آن پيدا کرد.</w:t>
      </w:r>
    </w:p>
    <w:bookmarkEnd w:id="2"/>
    <w:bookmarkEnd w:id="0"/>
    <w:sectPr w:rsidR="00F654C8">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0846C2EE" w14:textId="77777777" w:rsidR="00F654C8" w:rsidRPr="002D27AB" w:rsidRDefault="00F654C8" w:rsidP="00F654C8">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فقيه،ج3،ص59 و 60،ح3334 ـ وسائل،ج27،ص330،ح33862.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84447"/>
    <w:rsid w:val="000879BF"/>
    <w:rsid w:val="0009649A"/>
    <w:rsid w:val="000B64A7"/>
    <w:rsid w:val="000D0B46"/>
    <w:rsid w:val="000E1CDA"/>
    <w:rsid w:val="000E2156"/>
    <w:rsid w:val="000F2E50"/>
    <w:rsid w:val="00101B80"/>
    <w:rsid w:val="001050A2"/>
    <w:rsid w:val="001420FB"/>
    <w:rsid w:val="00145844"/>
    <w:rsid w:val="00150806"/>
    <w:rsid w:val="0015228E"/>
    <w:rsid w:val="001922E4"/>
    <w:rsid w:val="001D1305"/>
    <w:rsid w:val="001D4A4D"/>
    <w:rsid w:val="0021414D"/>
    <w:rsid w:val="00295DC1"/>
    <w:rsid w:val="0029688A"/>
    <w:rsid w:val="002A09CF"/>
    <w:rsid w:val="002C7D85"/>
    <w:rsid w:val="002D27AB"/>
    <w:rsid w:val="002E0246"/>
    <w:rsid w:val="00331A5F"/>
    <w:rsid w:val="00335969"/>
    <w:rsid w:val="003361EF"/>
    <w:rsid w:val="003A1222"/>
    <w:rsid w:val="003A199D"/>
    <w:rsid w:val="003C6DBC"/>
    <w:rsid w:val="003E2132"/>
    <w:rsid w:val="00487869"/>
    <w:rsid w:val="004B5767"/>
    <w:rsid w:val="00521235"/>
    <w:rsid w:val="005327C7"/>
    <w:rsid w:val="005532E0"/>
    <w:rsid w:val="005751F1"/>
    <w:rsid w:val="005B6905"/>
    <w:rsid w:val="0060689C"/>
    <w:rsid w:val="00621F9A"/>
    <w:rsid w:val="00625979"/>
    <w:rsid w:val="00690AFD"/>
    <w:rsid w:val="006A4420"/>
    <w:rsid w:val="006B2F35"/>
    <w:rsid w:val="006C580F"/>
    <w:rsid w:val="0070259D"/>
    <w:rsid w:val="00703021"/>
    <w:rsid w:val="00706DD2"/>
    <w:rsid w:val="00731C05"/>
    <w:rsid w:val="007374CF"/>
    <w:rsid w:val="00750FB1"/>
    <w:rsid w:val="00761208"/>
    <w:rsid w:val="00875CD7"/>
    <w:rsid w:val="008869B4"/>
    <w:rsid w:val="008C3DDD"/>
    <w:rsid w:val="008D1155"/>
    <w:rsid w:val="008D55B7"/>
    <w:rsid w:val="008F3842"/>
    <w:rsid w:val="00901208"/>
    <w:rsid w:val="00920965"/>
    <w:rsid w:val="009251BE"/>
    <w:rsid w:val="009364C3"/>
    <w:rsid w:val="00940DC9"/>
    <w:rsid w:val="00943CA6"/>
    <w:rsid w:val="00976371"/>
    <w:rsid w:val="009A3CA7"/>
    <w:rsid w:val="009C1C9D"/>
    <w:rsid w:val="009D42F6"/>
    <w:rsid w:val="009E2B08"/>
    <w:rsid w:val="00A1285F"/>
    <w:rsid w:val="00A17467"/>
    <w:rsid w:val="00A62A68"/>
    <w:rsid w:val="00A75FB0"/>
    <w:rsid w:val="00A840BC"/>
    <w:rsid w:val="00A96A24"/>
    <w:rsid w:val="00AB148E"/>
    <w:rsid w:val="00B33F90"/>
    <w:rsid w:val="00B651F0"/>
    <w:rsid w:val="00B74659"/>
    <w:rsid w:val="00BB28BF"/>
    <w:rsid w:val="00BD6EF3"/>
    <w:rsid w:val="00BE6672"/>
    <w:rsid w:val="00BF5AD9"/>
    <w:rsid w:val="00C004FA"/>
    <w:rsid w:val="00C01832"/>
    <w:rsid w:val="00C05C27"/>
    <w:rsid w:val="00C8378C"/>
    <w:rsid w:val="00C9359C"/>
    <w:rsid w:val="00C9572F"/>
    <w:rsid w:val="00CA0BC4"/>
    <w:rsid w:val="00CD52E6"/>
    <w:rsid w:val="00D20C84"/>
    <w:rsid w:val="00D22A70"/>
    <w:rsid w:val="00D663C8"/>
    <w:rsid w:val="00D81BE3"/>
    <w:rsid w:val="00D97411"/>
    <w:rsid w:val="00DC37E2"/>
    <w:rsid w:val="00E01FDF"/>
    <w:rsid w:val="00E214D7"/>
    <w:rsid w:val="00E2487C"/>
    <w:rsid w:val="00E55342"/>
    <w:rsid w:val="00E6533A"/>
    <w:rsid w:val="00E749D3"/>
    <w:rsid w:val="00E77A81"/>
    <w:rsid w:val="00ED3BC0"/>
    <w:rsid w:val="00ED7F5C"/>
    <w:rsid w:val="00EE25C0"/>
    <w:rsid w:val="00F46AE2"/>
    <w:rsid w:val="00F46E3E"/>
    <w:rsid w:val="00F5720C"/>
    <w:rsid w:val="00F654C8"/>
    <w:rsid w:val="00F71127"/>
    <w:rsid w:val="00FC64C4"/>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36</cp:revision>
  <cp:lastPrinted>2022-10-23T17:54:00Z</cp:lastPrinted>
  <dcterms:created xsi:type="dcterms:W3CDTF">2022-10-16T08:36:00Z</dcterms:created>
  <dcterms:modified xsi:type="dcterms:W3CDTF">2022-10-24T07:19:00Z</dcterms:modified>
</cp:coreProperties>
</file>