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77777777" w:rsidR="00901208" w:rsidRPr="00C27AEE" w:rsidRDefault="00901208" w:rsidP="00901208">
      <w:pPr>
        <w:widowControl w:val="0"/>
        <w:bidi/>
        <w:spacing w:after="0" w:line="250" w:lineRule="auto"/>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2A09CF">
      <w:pPr>
        <w:widowControl w:val="0"/>
        <w:bidi/>
        <w:spacing w:after="0" w:line="250" w:lineRule="auto"/>
        <w:jc w:val="center"/>
        <w:rPr>
          <w:rFonts w:cs="B Mitra"/>
          <w:b/>
          <w:bCs/>
          <w:sz w:val="32"/>
          <w:szCs w:val="32"/>
          <w:rtl/>
          <w:lang w:bidi="fa-IR"/>
        </w:rPr>
      </w:pPr>
      <w:r>
        <w:rPr>
          <w:rFonts w:cs="B Mitra" w:hint="cs"/>
          <w:b/>
          <w:bCs/>
          <w:sz w:val="32"/>
          <w:szCs w:val="32"/>
          <w:rtl/>
          <w:lang w:bidi="fa-IR"/>
        </w:rPr>
        <w:t>تقریر بحث فقه</w:t>
      </w:r>
    </w:p>
    <w:p w14:paraId="0989D30C" w14:textId="619F1A81" w:rsidR="00901208" w:rsidRDefault="00901208" w:rsidP="002A09CF">
      <w:pPr>
        <w:widowControl w:val="0"/>
        <w:bidi/>
        <w:spacing w:after="240" w:line="250" w:lineRule="auto"/>
        <w:jc w:val="center"/>
        <w:rPr>
          <w:rFonts w:cs="B Mitra"/>
          <w:b/>
          <w:bCs/>
          <w:sz w:val="32"/>
          <w:szCs w:val="32"/>
          <w:rtl/>
          <w:lang w:bidi="fa-IR"/>
        </w:rPr>
      </w:pPr>
      <w:r>
        <w:rPr>
          <w:rFonts w:cs="B Mitra" w:hint="cs"/>
          <w:b/>
          <w:bCs/>
          <w:sz w:val="32"/>
          <w:szCs w:val="32"/>
          <w:rtl/>
          <w:lang w:bidi="fa-IR"/>
        </w:rPr>
        <w:t xml:space="preserve">جلسه </w:t>
      </w:r>
      <w:r w:rsidR="00FC64C4">
        <w:rPr>
          <w:rFonts w:cs="B Mitra" w:hint="cs"/>
          <w:b/>
          <w:bCs/>
          <w:sz w:val="32"/>
          <w:szCs w:val="32"/>
          <w:rtl/>
          <w:lang w:bidi="fa-IR"/>
        </w:rPr>
        <w:t>50</w:t>
      </w:r>
      <w:r w:rsidR="00C05C27">
        <w:rPr>
          <w:rFonts w:cs="B Mitra" w:hint="cs"/>
          <w:b/>
          <w:bCs/>
          <w:sz w:val="32"/>
          <w:szCs w:val="32"/>
          <w:rtl/>
          <w:lang w:bidi="fa-IR"/>
        </w:rPr>
        <w:t>1</w:t>
      </w:r>
    </w:p>
    <w:p w14:paraId="3491C8D2" w14:textId="77777777" w:rsidR="009E2B08" w:rsidRDefault="009E2B08" w:rsidP="009E2B08">
      <w:pPr>
        <w:widowControl w:val="0"/>
        <w:bidi/>
        <w:spacing w:after="0" w:line="257"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مطلب دوم: دليل قاعده غرور</w:t>
      </w:r>
    </w:p>
    <w:p w14:paraId="57D1EA8B" w14:textId="77777777" w:rsidR="009E2B08" w:rsidRDefault="009E2B08" w:rsidP="009E2B08">
      <w:pPr>
        <w:widowControl w:val="0"/>
        <w:bidi/>
        <w:spacing w:after="0" w:line="257"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برای قاعده غرور به ادله</w:t>
      </w:r>
      <w:r>
        <w:rPr>
          <w:rFonts w:cs="Abz-2 (Badr)"/>
          <w:color w:val="000000" w:themeColor="text1"/>
          <w:sz w:val="28"/>
          <w:szCs w:val="28"/>
          <w:rtl/>
          <w:lang w:bidi="fa-IR"/>
        </w:rPr>
        <w:softHyphen/>
      </w:r>
      <w:r>
        <w:rPr>
          <w:rFonts w:cs="Abz-2 (Badr)" w:hint="cs"/>
          <w:color w:val="000000" w:themeColor="text1"/>
          <w:sz w:val="28"/>
          <w:szCs w:val="28"/>
          <w:rtl/>
          <w:lang w:bidi="fa-IR"/>
        </w:rPr>
        <w:t>ای استناد شده است:</w:t>
      </w:r>
    </w:p>
    <w:p w14:paraId="2B1FBC10" w14:textId="77777777" w:rsidR="009E2B08" w:rsidRDefault="009E2B08" w:rsidP="009E2B08">
      <w:pPr>
        <w:widowControl w:val="0"/>
        <w:bidi/>
        <w:spacing w:after="0" w:line="257"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1 ـ روايتی که در برخی از کتب فقهی به نبی مکرم اسلام(ص) نسبت داده شده است</w:t>
      </w:r>
      <w:r w:rsidRPr="00655B6C">
        <w:rPr>
          <w:rFonts w:cs="Abz-2 (Badr)"/>
          <w:color w:val="000000" w:themeColor="text1"/>
          <w:sz w:val="28"/>
          <w:szCs w:val="28"/>
          <w:vertAlign w:val="superscript"/>
          <w:rtl/>
          <w:lang w:bidi="fa-IR"/>
        </w:rPr>
        <w:footnoteReference w:id="1"/>
      </w:r>
      <w:r>
        <w:rPr>
          <w:rFonts w:cs="Abz-2 (Badr)" w:hint="cs"/>
          <w:color w:val="000000" w:themeColor="text1"/>
          <w:sz w:val="28"/>
          <w:szCs w:val="28"/>
          <w:rtl/>
          <w:lang w:bidi="fa-IR"/>
        </w:rPr>
        <w:t xml:space="preserve"> به اين مضمون که: «المغرور يرجع إلی من غرّه» يا «علی مر غرّه».</w:t>
      </w:r>
    </w:p>
    <w:p w14:paraId="7B7E80A2" w14:textId="27D0D252" w:rsidR="009E2B08" w:rsidRDefault="009E2B08" w:rsidP="009E2B08">
      <w:pPr>
        <w:widowControl w:val="0"/>
        <w:bidi/>
        <w:spacing w:after="0" w:line="257"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ولی اين روايت م</w:t>
      </w:r>
      <w:r w:rsidR="00A840BC">
        <w:rPr>
          <w:rFonts w:cs="Abz-2 (Badr)" w:hint="cs"/>
          <w:color w:val="000000" w:themeColor="text1"/>
          <w:sz w:val="28"/>
          <w:szCs w:val="28"/>
          <w:rtl/>
          <w:lang w:bidi="fa-IR"/>
        </w:rPr>
        <w:t>ر</w:t>
      </w:r>
      <w:r>
        <w:rPr>
          <w:rFonts w:cs="Abz-2 (Badr)" w:hint="cs"/>
          <w:color w:val="000000" w:themeColor="text1"/>
          <w:sz w:val="28"/>
          <w:szCs w:val="28"/>
          <w:rtl/>
          <w:lang w:bidi="fa-IR"/>
        </w:rPr>
        <w:t>سل بوده وفاقد سند است واستناد مشهور در قاعده غرور به اين روايت نيز معلوم نيست تا اين که سند آن به اين وسيله قابل تصحيح باشد.</w:t>
      </w:r>
    </w:p>
    <w:p w14:paraId="3F19CA5A" w14:textId="77777777" w:rsidR="009E2B08" w:rsidRDefault="009E2B08" w:rsidP="009E2B08">
      <w:pPr>
        <w:widowControl w:val="0"/>
        <w:bidi/>
        <w:spacing w:after="0" w:line="257"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2 ـ اخباری که در ابواب مختلف فقه وارد شده است که برخی از آنها در ضمن اخباری که در بحث عيوب و تدليس گذشت، ذکر شد.</w:t>
      </w:r>
    </w:p>
    <w:p w14:paraId="5B74B024" w14:textId="77777777" w:rsidR="009E2B08" w:rsidRDefault="009E2B08" w:rsidP="009E2B08">
      <w:pPr>
        <w:widowControl w:val="0"/>
        <w:bidi/>
        <w:spacing w:after="0" w:line="257"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 xml:space="preserve">منها: </w:t>
      </w:r>
      <w:r>
        <w:rPr>
          <w:rFonts w:cs="Abz-2 (Badr)" w:hint="cs"/>
          <w:sz w:val="28"/>
          <w:szCs w:val="28"/>
          <w:rtl/>
          <w:lang w:bidi="fa-IR"/>
        </w:rPr>
        <w:t xml:space="preserve">معتبرة </w:t>
      </w:r>
      <w:r w:rsidRPr="00F32DED">
        <w:rPr>
          <w:rFonts w:cs="Abz-2 (Badr)"/>
          <w:sz w:val="28"/>
          <w:szCs w:val="28"/>
          <w:rtl/>
          <w:lang w:bidi="fa-IR"/>
        </w:rPr>
        <w:t>إسماعيل‌ بن‌ جابر</w:t>
      </w:r>
      <w:r>
        <w:rPr>
          <w:rFonts w:cs="Abz-2 (Badr)" w:hint="cs"/>
          <w:sz w:val="28"/>
          <w:szCs w:val="28"/>
          <w:rtl/>
          <w:lang w:bidi="fa-IR"/>
        </w:rPr>
        <w:t>،</w:t>
      </w:r>
      <w:r w:rsidRPr="00F32DED">
        <w:rPr>
          <w:rFonts w:cs="Abz-2 (Badr)"/>
          <w:sz w:val="28"/>
          <w:szCs w:val="28"/>
          <w:rtl/>
          <w:lang w:bidi="fa-IR"/>
        </w:rPr>
        <w:t xml:space="preserve"> قال‌: </w:t>
      </w:r>
      <w:r>
        <w:rPr>
          <w:rFonts w:cs="Abz-2 (Badr)" w:hint="cs"/>
          <w:sz w:val="28"/>
          <w:szCs w:val="28"/>
          <w:rtl/>
          <w:lang w:bidi="fa-IR"/>
        </w:rPr>
        <w:t>«</w:t>
      </w:r>
      <w:r w:rsidRPr="00F32DED">
        <w:rPr>
          <w:rFonts w:cs="Abz-2 (Badr)"/>
          <w:sz w:val="28"/>
          <w:szCs w:val="28"/>
          <w:rtl/>
          <w:lang w:bidi="fa-IR"/>
        </w:rPr>
        <w:t>سألت‌ أبا عبدالله</w:t>
      </w:r>
      <w:r>
        <w:rPr>
          <w:rFonts w:cs="Abz-2 (Badr)" w:hint="cs"/>
          <w:sz w:val="28"/>
          <w:szCs w:val="28"/>
          <w:rtl/>
          <w:lang w:bidi="fa-IR"/>
        </w:rPr>
        <w:t>(ع)</w:t>
      </w:r>
      <w:r w:rsidRPr="00F32DED">
        <w:rPr>
          <w:rFonts w:cs="Abz-2 (Badr)"/>
          <w:sz w:val="28"/>
          <w:szCs w:val="28"/>
          <w:rtl/>
          <w:lang w:bidi="fa-IR"/>
        </w:rPr>
        <w:t>‌ عن‌ رجل‌ نظر إلى امرأة‌ فأعجبته‌ فسأل‌ عنها فقيل‌</w:t>
      </w:r>
      <w:r>
        <w:rPr>
          <w:rFonts w:cs="Abz-2 (Badr)" w:hint="cs"/>
          <w:sz w:val="28"/>
          <w:szCs w:val="28"/>
          <w:rtl/>
          <w:lang w:bidi="fa-IR"/>
        </w:rPr>
        <w:t>:</w:t>
      </w:r>
      <w:r w:rsidRPr="00F32DED">
        <w:rPr>
          <w:rFonts w:cs="Abz-2 (Badr)"/>
          <w:sz w:val="28"/>
          <w:szCs w:val="28"/>
          <w:rtl/>
          <w:lang w:bidi="fa-IR"/>
        </w:rPr>
        <w:t xml:space="preserve"> هي‌ ابنة‌ فلان</w:t>
      </w:r>
      <w:r>
        <w:rPr>
          <w:rFonts w:cs="Abz-2 (Badr)" w:hint="cs"/>
          <w:sz w:val="28"/>
          <w:szCs w:val="28"/>
          <w:rtl/>
          <w:lang w:bidi="fa-IR"/>
        </w:rPr>
        <w:t>،</w:t>
      </w:r>
      <w:r w:rsidRPr="00F32DED">
        <w:rPr>
          <w:rFonts w:cs="Abz-2 (Badr)"/>
          <w:sz w:val="28"/>
          <w:szCs w:val="28"/>
          <w:rtl/>
          <w:lang w:bidi="fa-IR"/>
        </w:rPr>
        <w:t>‌ فأتى أباها فقال‌</w:t>
      </w:r>
      <w:r>
        <w:rPr>
          <w:rFonts w:cs="Abz-2 (Badr)" w:hint="cs"/>
          <w:sz w:val="28"/>
          <w:szCs w:val="28"/>
          <w:rtl/>
          <w:lang w:bidi="fa-IR"/>
        </w:rPr>
        <w:t>:</w:t>
      </w:r>
      <w:r w:rsidRPr="00F32DED">
        <w:rPr>
          <w:rFonts w:cs="Abz-2 (Badr)"/>
          <w:sz w:val="28"/>
          <w:szCs w:val="28"/>
          <w:rtl/>
          <w:lang w:bidi="fa-IR"/>
        </w:rPr>
        <w:t xml:space="preserve"> زوّجني ابنتك</w:t>
      </w:r>
      <w:r>
        <w:rPr>
          <w:rFonts w:cs="Abz-2 (Badr)" w:hint="cs"/>
          <w:sz w:val="28"/>
          <w:szCs w:val="28"/>
          <w:rtl/>
          <w:lang w:bidi="fa-IR"/>
        </w:rPr>
        <w:t xml:space="preserve">، </w:t>
      </w:r>
      <w:r w:rsidRPr="00F32DED">
        <w:rPr>
          <w:rFonts w:cs="Abz-2 (Badr)"/>
          <w:sz w:val="28"/>
          <w:szCs w:val="28"/>
          <w:rtl/>
          <w:lang w:bidi="fa-IR"/>
        </w:rPr>
        <w:t>فزوّجه‌ غيرها فولدت‌ منه‌ فعلم‌ أنّها غير ابنته‌ وأنّها أمة</w:t>
      </w:r>
      <w:r>
        <w:rPr>
          <w:rFonts w:cs="Abz-2 (Badr)" w:hint="cs"/>
          <w:sz w:val="28"/>
          <w:szCs w:val="28"/>
          <w:rtl/>
          <w:lang w:bidi="fa-IR"/>
        </w:rPr>
        <w:t xml:space="preserve">؟ </w:t>
      </w:r>
      <w:r w:rsidRPr="00F32DED">
        <w:rPr>
          <w:rFonts w:cs="Abz-2 (Badr)"/>
          <w:sz w:val="28"/>
          <w:szCs w:val="28"/>
          <w:rtl/>
          <w:lang w:bidi="fa-IR"/>
        </w:rPr>
        <w:t>فقال</w:t>
      </w:r>
      <w:r>
        <w:rPr>
          <w:rFonts w:cs="Abz-2 (Badr)" w:hint="cs"/>
          <w:sz w:val="28"/>
          <w:szCs w:val="28"/>
          <w:rtl/>
          <w:lang w:bidi="fa-IR"/>
        </w:rPr>
        <w:t>:</w:t>
      </w:r>
      <w:r w:rsidRPr="00F32DED">
        <w:rPr>
          <w:rFonts w:cs="Abz-2 (Badr)"/>
          <w:sz w:val="28"/>
          <w:szCs w:val="28"/>
          <w:rtl/>
          <w:lang w:bidi="fa-IR"/>
        </w:rPr>
        <w:t>‌ يردّ الوليدة‌ على مولاها والولد للرجل‌</w:t>
      </w:r>
      <w:r>
        <w:rPr>
          <w:rFonts w:cs="Abz-2 (Badr)" w:hint="cs"/>
          <w:sz w:val="28"/>
          <w:szCs w:val="28"/>
          <w:rtl/>
          <w:lang w:bidi="fa-IR"/>
        </w:rPr>
        <w:t>،</w:t>
      </w:r>
      <w:r w:rsidRPr="00F32DED">
        <w:rPr>
          <w:rFonts w:cs="Abz-2 (Badr)"/>
          <w:sz w:val="28"/>
          <w:szCs w:val="28"/>
          <w:rtl/>
          <w:lang w:bidi="fa-IR"/>
        </w:rPr>
        <w:t xml:space="preserve"> وعلى الذي زوّجه‌ قيمة‌ ثمن‌ الولد</w:t>
      </w:r>
      <w:r>
        <w:rPr>
          <w:rFonts w:cs="Abz-2 (Badr)" w:hint="cs"/>
          <w:sz w:val="28"/>
          <w:szCs w:val="28"/>
          <w:rtl/>
          <w:lang w:bidi="fa-IR"/>
        </w:rPr>
        <w:t>،</w:t>
      </w:r>
      <w:r w:rsidRPr="00F32DED">
        <w:rPr>
          <w:rFonts w:cs="Abz-2 (Badr)"/>
          <w:sz w:val="28"/>
          <w:szCs w:val="28"/>
          <w:rtl/>
          <w:lang w:bidi="fa-IR"/>
        </w:rPr>
        <w:t xml:space="preserve"> يعطيه‌ موالي‌ الوليدة‌ كما غرّ الرجل‌ وخدعه</w:t>
      </w:r>
      <w:r>
        <w:rPr>
          <w:rFonts w:cs="Abz-2 (Badr)" w:hint="cs"/>
          <w:sz w:val="28"/>
          <w:szCs w:val="28"/>
          <w:rtl/>
          <w:lang w:bidi="fa-IR"/>
        </w:rPr>
        <w:t>.»</w:t>
      </w:r>
      <w:r w:rsidRPr="002D27AB">
        <w:rPr>
          <w:rStyle w:val="FootnoteReference"/>
          <w:rFonts w:cs="Abz-2 (Badr)"/>
          <w:sz w:val="28"/>
          <w:szCs w:val="28"/>
          <w:rtl/>
          <w:lang w:bidi="fa-IR"/>
        </w:rPr>
        <w:footnoteReference w:id="2"/>
      </w:r>
    </w:p>
    <w:p w14:paraId="26963FEE" w14:textId="77777777" w:rsidR="009E2B08" w:rsidRDefault="009E2B08" w:rsidP="009E2B08">
      <w:pPr>
        <w:widowControl w:val="0"/>
        <w:bidi/>
        <w:spacing w:after="0" w:line="26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 xml:space="preserve">ومنها: معتبرة رفاعة بن موسی، قال: «سألت أبا عبدالله(ع)... فقال: </w:t>
      </w:r>
      <w:r w:rsidRPr="00C63761">
        <w:rPr>
          <w:rFonts w:cs="Abz-2 (Badr)"/>
          <w:sz w:val="28"/>
          <w:szCs w:val="28"/>
          <w:rtl/>
          <w:lang w:bidi="fa-IR"/>
        </w:rPr>
        <w:t>قضى أمير المؤمنين</w:t>
      </w:r>
      <w:r>
        <w:rPr>
          <w:rFonts w:cs="Abz-2 (Badr)" w:hint="cs"/>
          <w:sz w:val="28"/>
          <w:szCs w:val="28"/>
          <w:rtl/>
          <w:lang w:bidi="fa-IR"/>
        </w:rPr>
        <w:t>(ع)</w:t>
      </w:r>
      <w:r w:rsidRPr="00C63761">
        <w:rPr>
          <w:rFonts w:cs="Abz-2 (Badr)"/>
          <w:sz w:val="28"/>
          <w:szCs w:val="28"/>
          <w:rtl/>
          <w:lang w:bidi="fa-IR"/>
        </w:rPr>
        <w:t>‌ في امرأة‌ زوّجها وليّها وهي‌ برصاء‌</w:t>
      </w:r>
      <w:r>
        <w:rPr>
          <w:rFonts w:cs="Abz-2 (Badr)" w:hint="cs"/>
          <w:sz w:val="28"/>
          <w:szCs w:val="28"/>
          <w:rtl/>
          <w:lang w:bidi="fa-IR"/>
        </w:rPr>
        <w:t xml:space="preserve"> </w:t>
      </w:r>
      <w:r w:rsidRPr="00C63761">
        <w:rPr>
          <w:rFonts w:cs="Abz-2 (Badr)"/>
          <w:sz w:val="28"/>
          <w:szCs w:val="28"/>
          <w:rtl/>
          <w:lang w:bidi="fa-IR"/>
        </w:rPr>
        <w:t>أنّ‌ لها المهر بما استحلّ</w:t>
      </w:r>
      <w:r>
        <w:rPr>
          <w:rFonts w:cs="Abz-2 (Badr)" w:hint="cs"/>
          <w:sz w:val="28"/>
          <w:szCs w:val="28"/>
          <w:rtl/>
          <w:lang w:bidi="fa-IR"/>
        </w:rPr>
        <w:t xml:space="preserve"> </w:t>
      </w:r>
      <w:r w:rsidRPr="00C63761">
        <w:rPr>
          <w:rFonts w:cs="Abz-2 (Badr)"/>
          <w:sz w:val="28"/>
          <w:szCs w:val="28"/>
          <w:rtl/>
          <w:lang w:bidi="fa-IR"/>
        </w:rPr>
        <w:t>من‌ فرجها وأنّ‌ المهر على الذي زوّجها</w:t>
      </w:r>
      <w:r>
        <w:rPr>
          <w:rFonts w:cs="Abz-2 (Badr)" w:hint="cs"/>
          <w:sz w:val="28"/>
          <w:szCs w:val="28"/>
          <w:rtl/>
          <w:lang w:bidi="fa-IR"/>
        </w:rPr>
        <w:t>،</w:t>
      </w:r>
      <w:r w:rsidRPr="00C63761">
        <w:rPr>
          <w:rFonts w:cs="Abz-2 (Badr)"/>
          <w:sz w:val="28"/>
          <w:szCs w:val="28"/>
          <w:rtl/>
          <w:lang w:bidi="fa-IR"/>
        </w:rPr>
        <w:t xml:space="preserve"> وإنّما صار المهر عليه‌ لأنّه‌ دلّسها</w:t>
      </w:r>
      <w:r>
        <w:rPr>
          <w:rFonts w:cs="Abz-2 (Badr)" w:hint="cs"/>
          <w:sz w:val="28"/>
          <w:szCs w:val="28"/>
          <w:rtl/>
          <w:lang w:bidi="fa-IR"/>
        </w:rPr>
        <w:t>.</w:t>
      </w:r>
      <w:r w:rsidRPr="00C63761">
        <w:rPr>
          <w:rFonts w:cs="Abz-2 (Badr)"/>
          <w:sz w:val="28"/>
          <w:szCs w:val="28"/>
          <w:rtl/>
          <w:lang w:bidi="fa-IR"/>
        </w:rPr>
        <w:t xml:space="preserve"> ولو أنّ‌ رجلا</w:t>
      </w:r>
      <w:r>
        <w:rPr>
          <w:rFonts w:cs="Abz-2 (Badr)" w:hint="cs"/>
          <w:sz w:val="28"/>
          <w:szCs w:val="28"/>
          <w:rtl/>
          <w:lang w:bidi="fa-IR"/>
        </w:rPr>
        <w:t>ً</w:t>
      </w:r>
      <w:r w:rsidRPr="00C63761">
        <w:rPr>
          <w:rFonts w:cs="Abz-2 (Badr)"/>
          <w:sz w:val="28"/>
          <w:szCs w:val="28"/>
          <w:rtl/>
          <w:lang w:bidi="fa-IR"/>
        </w:rPr>
        <w:t xml:space="preserve"> تزوّج‌ امرأة‌ أو زوّجها رجلا</w:t>
      </w:r>
      <w:r>
        <w:rPr>
          <w:rFonts w:cs="Abz-2 (Badr)" w:hint="cs"/>
          <w:sz w:val="28"/>
          <w:szCs w:val="28"/>
          <w:rtl/>
          <w:lang w:bidi="fa-IR"/>
        </w:rPr>
        <w:t>ً</w:t>
      </w:r>
      <w:r w:rsidRPr="00C63761">
        <w:rPr>
          <w:rFonts w:cs="Abz-2 (Badr)"/>
          <w:sz w:val="28"/>
          <w:szCs w:val="28"/>
          <w:rtl/>
          <w:lang w:bidi="fa-IR"/>
        </w:rPr>
        <w:t xml:space="preserve"> لا يعرف‌ دخيلة‌ أمرها</w:t>
      </w:r>
      <w:r>
        <w:rPr>
          <w:rFonts w:cs="Abz-2 (Badr)" w:hint="cs"/>
          <w:sz w:val="28"/>
          <w:szCs w:val="28"/>
          <w:rtl/>
          <w:lang w:bidi="fa-IR"/>
        </w:rPr>
        <w:t>،</w:t>
      </w:r>
      <w:r w:rsidRPr="00C63761">
        <w:rPr>
          <w:rFonts w:cs="Abz-2 (Badr)"/>
          <w:sz w:val="28"/>
          <w:szCs w:val="28"/>
          <w:rtl/>
          <w:lang w:bidi="fa-IR"/>
        </w:rPr>
        <w:t xml:space="preserve"> لم‌ يكن‌ عليه‌ شي‌ء‌ وكان‌ المهر يأخذه‌ منها</w:t>
      </w:r>
      <w:r>
        <w:rPr>
          <w:rFonts w:cs="Abz-2 (Badr)" w:hint="cs"/>
          <w:sz w:val="28"/>
          <w:szCs w:val="28"/>
          <w:rtl/>
          <w:lang w:bidi="fa-IR"/>
        </w:rPr>
        <w:t>.</w:t>
      </w:r>
      <w:r w:rsidRPr="00C63761">
        <w:rPr>
          <w:rFonts w:cs="Abz-2 (Badr)"/>
          <w:sz w:val="28"/>
          <w:szCs w:val="28"/>
          <w:rtl/>
          <w:lang w:bidi="fa-IR"/>
        </w:rPr>
        <w:t>»</w:t>
      </w:r>
      <w:r w:rsidRPr="002D27AB">
        <w:rPr>
          <w:rStyle w:val="FootnoteReference"/>
          <w:rFonts w:cs="Abz-2 (Badr)"/>
          <w:sz w:val="28"/>
          <w:szCs w:val="28"/>
          <w:rtl/>
          <w:lang w:bidi="fa-IR"/>
        </w:rPr>
        <w:footnoteReference w:id="3"/>
      </w:r>
    </w:p>
    <w:p w14:paraId="6D1F41AF" w14:textId="77777777" w:rsidR="009E2B08" w:rsidRDefault="009E2B08" w:rsidP="009E2B08">
      <w:pPr>
        <w:widowControl w:val="0"/>
        <w:bidi/>
        <w:spacing w:after="0" w:line="262" w:lineRule="auto"/>
        <w:ind w:firstLine="284"/>
        <w:jc w:val="both"/>
        <w:rPr>
          <w:rFonts w:cs="Abz-2 (Badr)"/>
          <w:sz w:val="28"/>
          <w:szCs w:val="28"/>
          <w:rtl/>
          <w:lang w:bidi="fa-IR"/>
        </w:rPr>
      </w:pPr>
      <w:r>
        <w:rPr>
          <w:rFonts w:cs="Abz-2 (Badr)" w:hint="cs"/>
          <w:color w:val="000000" w:themeColor="text1"/>
          <w:sz w:val="28"/>
          <w:szCs w:val="28"/>
          <w:rtl/>
          <w:lang w:bidi="fa-IR"/>
        </w:rPr>
        <w:t xml:space="preserve">ومنها: </w:t>
      </w:r>
      <w:r w:rsidRPr="00ED6278">
        <w:rPr>
          <w:rFonts w:cs="Abz-2 (Badr)" w:hint="cs"/>
          <w:sz w:val="28"/>
          <w:szCs w:val="28"/>
          <w:rtl/>
          <w:lang w:bidi="fa-IR"/>
        </w:rPr>
        <w:t xml:space="preserve">حسنة الحلبي عن أبي عبدالله(ع): </w:t>
      </w:r>
      <w:r w:rsidRPr="00ED6278">
        <w:rPr>
          <w:rFonts w:cs="Abz-2 (Badr)"/>
          <w:sz w:val="28"/>
          <w:szCs w:val="28"/>
          <w:rtl/>
          <w:lang w:bidi="fa-IR"/>
        </w:rPr>
        <w:t>«عن المرأة تلد من الزنا ولا يعلم بذلك أحد إلا وليّها، أيصلح له أن يزوّجها ويسكت على ذلك إذا كان قد رأى منها توبة أو معروفاً؟ فقال: إن لم يذكر ذلك لزوجها ثمّ علم بعد ذلك فشاء أن يأخذ صداقها من وليّها بما دلّس عليه، كان له ذلك على وليّها</w:t>
      </w:r>
      <w:r>
        <w:rPr>
          <w:rFonts w:cs="Abz-2 (Badr)" w:hint="cs"/>
          <w:sz w:val="28"/>
          <w:szCs w:val="28"/>
          <w:rtl/>
          <w:lang w:bidi="fa-IR"/>
        </w:rPr>
        <w:t>..</w:t>
      </w:r>
      <w:r w:rsidRPr="00ED6278">
        <w:rPr>
          <w:rFonts w:cs="Abz-2 (Badr)"/>
          <w:sz w:val="28"/>
          <w:szCs w:val="28"/>
          <w:rtl/>
          <w:lang w:bidi="fa-IR"/>
        </w:rPr>
        <w:t>.»</w:t>
      </w:r>
      <w:r w:rsidRPr="002D27AB">
        <w:rPr>
          <w:rStyle w:val="FootnoteReference"/>
          <w:rFonts w:cs="Abz-2 (Badr)"/>
          <w:sz w:val="28"/>
          <w:szCs w:val="28"/>
          <w:rtl/>
          <w:lang w:bidi="fa-IR"/>
        </w:rPr>
        <w:footnoteReference w:id="4"/>
      </w:r>
    </w:p>
    <w:p w14:paraId="6327C790" w14:textId="77777777" w:rsidR="009E2B08" w:rsidRDefault="009E2B08" w:rsidP="009E2B08">
      <w:pPr>
        <w:widowControl w:val="0"/>
        <w:bidi/>
        <w:spacing w:after="0" w:line="262" w:lineRule="auto"/>
        <w:ind w:firstLine="284"/>
        <w:jc w:val="both"/>
        <w:rPr>
          <w:rFonts w:cs="Abz-2 (Badr)"/>
          <w:sz w:val="28"/>
          <w:szCs w:val="28"/>
          <w:rtl/>
          <w:lang w:bidi="fa-IR"/>
        </w:rPr>
      </w:pPr>
      <w:r>
        <w:rPr>
          <w:rFonts w:cs="Abz-2 (Badr)" w:hint="cs"/>
          <w:sz w:val="28"/>
          <w:szCs w:val="28"/>
          <w:rtl/>
          <w:lang w:bidi="fa-IR"/>
        </w:rPr>
        <w:t>ظاهر از اين سه روايت اين است که دليل رجوع زوج به ولی، تدليس و غرور است و در نتيجه می</w:t>
      </w:r>
      <w:r>
        <w:rPr>
          <w:rFonts w:cs="Abz-2 (Badr)"/>
          <w:sz w:val="28"/>
          <w:szCs w:val="28"/>
          <w:rtl/>
          <w:lang w:bidi="fa-IR"/>
        </w:rPr>
        <w:softHyphen/>
      </w:r>
      <w:r>
        <w:rPr>
          <w:rFonts w:cs="Abz-2 (Badr)" w:hint="cs"/>
          <w:sz w:val="28"/>
          <w:szCs w:val="28"/>
          <w:rtl/>
          <w:lang w:bidi="fa-IR"/>
        </w:rPr>
        <w:t>توان قائل به تعميم حکم در جميع موارد وجود غرور شد.</w:t>
      </w:r>
    </w:p>
    <w:p w14:paraId="081FDC39" w14:textId="77777777" w:rsidR="009E2B08" w:rsidRDefault="009E2B08" w:rsidP="009E2B08">
      <w:pPr>
        <w:widowControl w:val="0"/>
        <w:bidi/>
        <w:spacing w:after="0"/>
        <w:ind w:firstLine="284"/>
        <w:jc w:val="both"/>
        <w:rPr>
          <w:rFonts w:cs="Abz-2 (Badr)"/>
          <w:sz w:val="28"/>
          <w:szCs w:val="28"/>
          <w:rtl/>
          <w:lang w:bidi="fa-IR"/>
        </w:rPr>
      </w:pPr>
      <w:r>
        <w:rPr>
          <w:rFonts w:cs="Abz-2 (Badr)" w:hint="cs"/>
          <w:color w:val="000000" w:themeColor="text1"/>
          <w:sz w:val="28"/>
          <w:szCs w:val="28"/>
          <w:rtl/>
          <w:lang w:bidi="fa-IR"/>
        </w:rPr>
        <w:lastRenderedPageBreak/>
        <w:t xml:space="preserve">ومنها: </w:t>
      </w:r>
      <w:r w:rsidRPr="00ED6278">
        <w:rPr>
          <w:rFonts w:cs="Abz-2 (Badr)" w:hint="cs"/>
          <w:sz w:val="28"/>
          <w:szCs w:val="28"/>
          <w:rtl/>
          <w:lang w:bidi="fa-IR"/>
        </w:rPr>
        <w:t xml:space="preserve">صحيحة أبي عبيدة عن أبي جعفر(ع)، قال: </w:t>
      </w:r>
      <w:r w:rsidRPr="00ED6278">
        <w:rPr>
          <w:rFonts w:cs="Abz-2 (Badr)"/>
          <w:sz w:val="28"/>
          <w:szCs w:val="28"/>
          <w:rtl/>
          <w:lang w:bidi="fa-IR"/>
        </w:rPr>
        <w:t xml:space="preserve">«في رجل تزوّج امرأة من وليّها فوجد بها عيباً بعدما دخل بها، قال: فقال: إذا </w:t>
      </w:r>
      <w:r w:rsidRPr="00ED6278">
        <w:rPr>
          <w:rFonts w:cs="Abz-2 (Badr)" w:hint="cs"/>
          <w:sz w:val="28"/>
          <w:szCs w:val="28"/>
          <w:rtl/>
          <w:lang w:bidi="fa-IR"/>
        </w:rPr>
        <w:t>دُلّست</w:t>
      </w:r>
      <w:r w:rsidRPr="00ED6278">
        <w:rPr>
          <w:rFonts w:cs="Abz-2 (Badr)"/>
          <w:sz w:val="28"/>
          <w:szCs w:val="28"/>
          <w:rtl/>
          <w:lang w:bidi="fa-IR"/>
        </w:rPr>
        <w:t xml:space="preserve"> العفلاء والبرصاء والمجنونة والمفضاة ومن كان بها زَمانة ظاهرة، فإنّها تردّ على أهلها من غير طلاق</w:t>
      </w:r>
      <w:r>
        <w:rPr>
          <w:rFonts w:cs="Abz-2 (Badr)" w:hint="cs"/>
          <w:sz w:val="28"/>
          <w:szCs w:val="28"/>
          <w:rtl/>
          <w:lang w:bidi="fa-IR"/>
        </w:rPr>
        <w:t xml:space="preserve"> ويأخذ الزوج المهر من وليّها الذي دلّسها...»</w:t>
      </w:r>
      <w:r w:rsidRPr="002D27AB">
        <w:rPr>
          <w:rStyle w:val="FootnoteReference"/>
          <w:rFonts w:cs="Abz-2 (Badr)"/>
          <w:sz w:val="28"/>
          <w:szCs w:val="28"/>
          <w:rtl/>
          <w:lang w:bidi="fa-IR"/>
        </w:rPr>
        <w:footnoteReference w:id="5"/>
      </w:r>
    </w:p>
    <w:p w14:paraId="49502251" w14:textId="77777777" w:rsidR="009E2B08" w:rsidRDefault="009E2B08" w:rsidP="009E2B08">
      <w:pPr>
        <w:widowControl w:val="0"/>
        <w:bidi/>
        <w:spacing w:after="0"/>
        <w:ind w:firstLine="284"/>
        <w:jc w:val="both"/>
        <w:rPr>
          <w:rFonts w:cs="Abz-2 (Badr)"/>
          <w:sz w:val="28"/>
          <w:szCs w:val="28"/>
          <w:rtl/>
          <w:lang w:bidi="fa-IR"/>
        </w:rPr>
      </w:pPr>
      <w:r>
        <w:rPr>
          <w:rFonts w:cs="Abz-2 (Badr)" w:hint="cs"/>
          <w:sz w:val="28"/>
          <w:szCs w:val="28"/>
          <w:rtl/>
          <w:lang w:bidi="fa-IR"/>
        </w:rPr>
        <w:t>ذکر تعبير «دلّسها» بعد از «وليّها» در اين روايت نيز مشعر به اين است که حکم دائر مدار چنين وصفی است نه اين که عنوان مشير باشد.</w:t>
      </w:r>
    </w:p>
    <w:p w14:paraId="22414C54" w14:textId="77777777" w:rsidR="009E2B08" w:rsidRPr="00566AD1" w:rsidRDefault="009E2B08" w:rsidP="009E2B08">
      <w:pPr>
        <w:widowControl w:val="0"/>
        <w:bidi/>
        <w:spacing w:after="0"/>
        <w:ind w:firstLine="284"/>
        <w:jc w:val="both"/>
        <w:rPr>
          <w:rFonts w:cs="Abz-2 (Badr)"/>
          <w:sz w:val="28"/>
          <w:szCs w:val="28"/>
          <w:rtl/>
          <w:lang w:bidi="fa-IR"/>
        </w:rPr>
      </w:pPr>
      <w:r>
        <w:rPr>
          <w:rFonts w:cs="Abz-2 (Badr)" w:hint="cs"/>
          <w:sz w:val="28"/>
          <w:szCs w:val="28"/>
          <w:rtl/>
          <w:lang w:bidi="fa-IR"/>
        </w:rPr>
        <w:t>اما آيت الله خوئی بر استدلال به اين اخبار برای قاعده غرور اشکال گرفته و می</w:t>
      </w:r>
      <w:r>
        <w:rPr>
          <w:rFonts w:cs="Abz-2 (Badr)"/>
          <w:sz w:val="28"/>
          <w:szCs w:val="28"/>
          <w:rtl/>
          <w:lang w:bidi="fa-IR"/>
        </w:rPr>
        <w:softHyphen/>
      </w:r>
      <w:r>
        <w:rPr>
          <w:rFonts w:cs="Abz-2 (Badr)" w:hint="cs"/>
          <w:sz w:val="28"/>
          <w:szCs w:val="28"/>
          <w:rtl/>
          <w:lang w:bidi="fa-IR"/>
        </w:rPr>
        <w:t>فرمايد: «</w:t>
      </w:r>
      <w:r w:rsidRPr="00566AD1">
        <w:rPr>
          <w:rFonts w:cs="Abz-2 (Badr)"/>
          <w:sz w:val="28"/>
          <w:szCs w:val="28"/>
          <w:rtl/>
          <w:lang w:bidi="fa-IR"/>
        </w:rPr>
        <w:t>وأمّا الأخبار التي استدلّ‌ بها القائلون برجوع المشتري على البائع بالغرامات</w:t>
      </w:r>
      <w:r>
        <w:rPr>
          <w:rFonts w:cs="Abz-2 (Badr)" w:hint="cs"/>
          <w:sz w:val="28"/>
          <w:szCs w:val="28"/>
          <w:rtl/>
          <w:lang w:bidi="fa-IR"/>
        </w:rPr>
        <w:t>...</w:t>
      </w:r>
      <w:r w:rsidRPr="00566AD1">
        <w:rPr>
          <w:rFonts w:cs="Abz-2 (Badr)"/>
          <w:sz w:val="28"/>
          <w:szCs w:val="28"/>
          <w:rtl/>
          <w:lang w:bidi="fa-IR"/>
        </w:rPr>
        <w:t xml:space="preserve"> روايات خاصّة قد وردت في خصوص المزوّج العالم بالحال</w:t>
      </w:r>
      <w:r>
        <w:rPr>
          <w:rFonts w:cs="Abz-2 (Badr)" w:hint="cs"/>
          <w:sz w:val="28"/>
          <w:szCs w:val="28"/>
          <w:rtl/>
          <w:lang w:bidi="fa-IR"/>
        </w:rPr>
        <w:t>،</w:t>
      </w:r>
      <w:r w:rsidRPr="00566AD1">
        <w:rPr>
          <w:rFonts w:cs="Abz-2 (Badr)"/>
          <w:sz w:val="28"/>
          <w:szCs w:val="28"/>
          <w:rtl/>
          <w:lang w:bidi="fa-IR"/>
        </w:rPr>
        <w:t xml:space="preserve"> فلا يمكننا التعدّي منها إلى سائر الموارد أبداً، بل لا نتعدّى منها إلى غير مهرها أيضاً كما إذا اغترم زوجها بكراء دار أو بصرف أموال كثيرة، وإنّما نقتصر على خصوص المهر لأجل تلك الأخبار.</w:t>
      </w:r>
    </w:p>
    <w:p w14:paraId="3E19F042" w14:textId="77777777" w:rsidR="009E2B08" w:rsidRPr="00566AD1" w:rsidRDefault="009E2B08" w:rsidP="009E2B08">
      <w:pPr>
        <w:widowControl w:val="0"/>
        <w:bidi/>
        <w:spacing w:after="0"/>
        <w:ind w:firstLine="284"/>
        <w:jc w:val="both"/>
        <w:rPr>
          <w:rFonts w:cs="Abz-2 (Badr)"/>
          <w:sz w:val="28"/>
          <w:szCs w:val="28"/>
          <w:rtl/>
          <w:lang w:bidi="fa-IR"/>
        </w:rPr>
      </w:pPr>
      <w:r w:rsidRPr="00566AD1">
        <w:rPr>
          <w:rFonts w:cs="Abz-2 (Badr)"/>
          <w:sz w:val="28"/>
          <w:szCs w:val="28"/>
          <w:rtl/>
          <w:lang w:bidi="fa-IR"/>
        </w:rPr>
        <w:t>وقد يستدلّ‌ على رجوع المغرور إلى الغارّ في جميع الموارد بما ورد في بعض هذه الأخبار من التعليل بقوله</w:t>
      </w:r>
      <w:r>
        <w:rPr>
          <w:rFonts w:cs="Abz-2 (Badr)" w:hint="cs"/>
          <w:sz w:val="28"/>
          <w:szCs w:val="28"/>
          <w:rtl/>
          <w:lang w:bidi="fa-IR"/>
        </w:rPr>
        <w:t>(ع):</w:t>
      </w:r>
      <w:r w:rsidRPr="00566AD1">
        <w:rPr>
          <w:rFonts w:cs="Abz-2 (Badr)"/>
          <w:sz w:val="28"/>
          <w:szCs w:val="28"/>
          <w:rtl/>
          <w:lang w:bidi="fa-IR"/>
        </w:rPr>
        <w:t xml:space="preserve"> «كما غرّ الرجل وخدعه» في خبر اسماعيل بن</w:t>
      </w:r>
      <w:r>
        <w:rPr>
          <w:rFonts w:cs="Abz-2 (Badr)" w:hint="cs"/>
          <w:sz w:val="28"/>
          <w:szCs w:val="28"/>
          <w:rtl/>
          <w:lang w:bidi="fa-IR"/>
        </w:rPr>
        <w:t xml:space="preserve"> </w:t>
      </w:r>
      <w:r w:rsidRPr="00566AD1">
        <w:rPr>
          <w:rFonts w:cs="Abz-2 (Badr)"/>
          <w:sz w:val="28"/>
          <w:szCs w:val="28"/>
          <w:rtl/>
          <w:lang w:bidi="fa-IR"/>
        </w:rPr>
        <w:t>جابر وقوله(ع</w:t>
      </w:r>
      <w:r>
        <w:rPr>
          <w:rFonts w:cs="Abz-2 (Badr)" w:hint="cs"/>
          <w:sz w:val="28"/>
          <w:szCs w:val="28"/>
          <w:rtl/>
          <w:lang w:bidi="fa-IR"/>
        </w:rPr>
        <w:t>)</w:t>
      </w:r>
      <w:r w:rsidRPr="00566AD1">
        <w:rPr>
          <w:rFonts w:cs="Abz-2 (Badr)"/>
          <w:sz w:val="28"/>
          <w:szCs w:val="28"/>
          <w:rtl/>
          <w:lang w:bidi="fa-IR"/>
        </w:rPr>
        <w:t xml:space="preserve"> في خبر رفاعة</w:t>
      </w:r>
      <w:r>
        <w:rPr>
          <w:rFonts w:cs="Abz-2 (Badr)" w:hint="cs"/>
          <w:sz w:val="28"/>
          <w:szCs w:val="28"/>
          <w:rtl/>
          <w:lang w:bidi="fa-IR"/>
        </w:rPr>
        <w:t>:</w:t>
      </w:r>
      <w:r w:rsidRPr="00566AD1">
        <w:rPr>
          <w:rFonts w:cs="Abz-2 (Badr)"/>
          <w:sz w:val="28"/>
          <w:szCs w:val="28"/>
          <w:rtl/>
          <w:lang w:bidi="fa-IR"/>
        </w:rPr>
        <w:t xml:space="preserve"> «وإنّما صار المهر عليه لأنّه دلّسها»</w:t>
      </w:r>
      <w:r>
        <w:rPr>
          <w:rFonts w:cs="Abz-2 (Badr)" w:hint="cs"/>
          <w:sz w:val="28"/>
          <w:szCs w:val="28"/>
          <w:rtl/>
          <w:lang w:bidi="fa-IR"/>
        </w:rPr>
        <w:t xml:space="preserve"> </w:t>
      </w:r>
      <w:r w:rsidRPr="00566AD1">
        <w:rPr>
          <w:rFonts w:cs="Abz-2 (Badr)"/>
          <w:sz w:val="28"/>
          <w:szCs w:val="28"/>
          <w:rtl/>
          <w:lang w:bidi="fa-IR"/>
        </w:rPr>
        <w:t>فيتعدّى من التعليلين إلى جميع موارد الغرور.</w:t>
      </w:r>
    </w:p>
    <w:p w14:paraId="0422E13B" w14:textId="77777777" w:rsidR="009E2B08" w:rsidRDefault="009E2B08" w:rsidP="009E2B08">
      <w:pPr>
        <w:widowControl w:val="0"/>
        <w:bidi/>
        <w:spacing w:after="0"/>
        <w:ind w:firstLine="284"/>
        <w:jc w:val="both"/>
        <w:rPr>
          <w:rFonts w:cs="Abz-2 (Badr)"/>
          <w:sz w:val="28"/>
          <w:szCs w:val="28"/>
          <w:rtl/>
          <w:lang w:bidi="fa-IR"/>
        </w:rPr>
      </w:pPr>
      <w:r w:rsidRPr="00566AD1">
        <w:rPr>
          <w:rFonts w:cs="Abz-2 (Badr)"/>
          <w:sz w:val="28"/>
          <w:szCs w:val="28"/>
          <w:rtl/>
          <w:lang w:bidi="fa-IR"/>
        </w:rPr>
        <w:t>إلا أنّ‌ الاستدلال بهما على المدّعى ممّا لا يمكن المساعدة عليه، لأنّ‌ الرواية الاُولى ضعيفة السند بمحمّد بن سنان</w:t>
      </w:r>
      <w:r>
        <w:rPr>
          <w:rFonts w:cs="Abz-2 (Badr)" w:hint="cs"/>
          <w:sz w:val="28"/>
          <w:szCs w:val="28"/>
          <w:rtl/>
          <w:lang w:bidi="fa-IR"/>
        </w:rPr>
        <w:t xml:space="preserve">... </w:t>
      </w:r>
      <w:r w:rsidRPr="00566AD1">
        <w:rPr>
          <w:rFonts w:cs="Abz-2 (Badr)"/>
          <w:sz w:val="28"/>
          <w:szCs w:val="28"/>
          <w:rtl/>
          <w:lang w:bidi="fa-IR"/>
        </w:rPr>
        <w:t>كما أنّ‌ الثانية ضعيفة بسهل بن زياد</w:t>
      </w:r>
      <w:r>
        <w:rPr>
          <w:rFonts w:cs="Abz-2 (Badr)" w:hint="cs"/>
          <w:sz w:val="28"/>
          <w:szCs w:val="28"/>
          <w:rtl/>
          <w:lang w:bidi="fa-IR"/>
        </w:rPr>
        <w:t>..</w:t>
      </w:r>
      <w:r w:rsidRPr="00566AD1">
        <w:rPr>
          <w:rFonts w:cs="Abz-2 (Badr)"/>
          <w:sz w:val="28"/>
          <w:szCs w:val="28"/>
          <w:rtl/>
          <w:lang w:bidi="fa-IR"/>
        </w:rPr>
        <w:t>.</w:t>
      </w:r>
    </w:p>
    <w:p w14:paraId="49275253" w14:textId="77777777" w:rsidR="009E2B08" w:rsidRPr="00566AD1" w:rsidRDefault="009E2B08" w:rsidP="009E2B08">
      <w:pPr>
        <w:widowControl w:val="0"/>
        <w:bidi/>
        <w:spacing w:after="0"/>
        <w:ind w:firstLine="284"/>
        <w:jc w:val="both"/>
        <w:rPr>
          <w:rFonts w:ascii="Noor_Nazli" w:eastAsia="Times New Roman" w:hAnsi="Noor_Nazli" w:cs="Times New Roman"/>
          <w:sz w:val="36"/>
          <w:szCs w:val="36"/>
          <w:rtl/>
          <w:lang w:bidi="fa-IR"/>
        </w:rPr>
      </w:pPr>
      <w:r w:rsidRPr="00566AD1">
        <w:rPr>
          <w:rFonts w:cs="Abz-2 (Badr)"/>
          <w:sz w:val="28"/>
          <w:szCs w:val="28"/>
          <w:rtl/>
          <w:lang w:bidi="fa-IR"/>
        </w:rPr>
        <w:t>وأمّا التعليل المذكور فيهما فهو إنّما يقتضي التعدّي منهما إلى كل من غرّ آخر في الزواج برجوعه إلى المزوّج في المهر لأنه المذكور في الروايتين لا إلى جميع موارد الغرور ولعلّه ظاهر.</w:t>
      </w:r>
      <w:r>
        <w:rPr>
          <w:rFonts w:cs="Abz-2 (Badr)" w:hint="cs"/>
          <w:sz w:val="28"/>
          <w:szCs w:val="28"/>
          <w:rtl/>
          <w:lang w:bidi="fa-IR"/>
        </w:rPr>
        <w:t>»</w:t>
      </w:r>
    </w:p>
    <w:p w14:paraId="048E1558" w14:textId="77777777" w:rsidR="009E2B08" w:rsidRDefault="009E2B08" w:rsidP="009E2B08">
      <w:pPr>
        <w:widowControl w:val="0"/>
        <w:bidi/>
        <w:spacing w:after="0"/>
        <w:ind w:firstLine="284"/>
        <w:jc w:val="both"/>
        <w:rPr>
          <w:rFonts w:cs="Abz-2 (Badr)"/>
          <w:sz w:val="28"/>
          <w:szCs w:val="28"/>
          <w:rtl/>
          <w:lang w:bidi="fa-IR"/>
        </w:rPr>
      </w:pPr>
      <w:r>
        <w:rPr>
          <w:rFonts w:cs="Abz-2 (Badr)" w:hint="cs"/>
          <w:sz w:val="28"/>
          <w:szCs w:val="28"/>
          <w:rtl/>
          <w:lang w:bidi="fa-IR"/>
        </w:rPr>
        <w:t>ولی پاسخ اشکالات ايشان اين است که اولاً: اشکال سندی در دو روايت مذکور وجود ندارد و روايات محمد بن سنان و سهل بن زياد قابل اخذ هستند. مضافاً بر اين که بر فرض وجود چنين اشکالی در اين دو روايت، حسنه حلبی و صحيحه ابی عبيده اشکال سندی ندارند.</w:t>
      </w:r>
    </w:p>
    <w:p w14:paraId="59D5869E" w14:textId="77777777" w:rsidR="009E2B08" w:rsidRPr="0074299D" w:rsidRDefault="009E2B08" w:rsidP="009E2B08">
      <w:pPr>
        <w:widowControl w:val="0"/>
        <w:bidi/>
        <w:spacing w:after="0"/>
        <w:ind w:firstLine="284"/>
        <w:jc w:val="both"/>
        <w:rPr>
          <w:rFonts w:cs="Abz-2 (Badr)"/>
          <w:spacing w:val="-4"/>
          <w:sz w:val="28"/>
          <w:szCs w:val="28"/>
          <w:rtl/>
          <w:lang w:bidi="fa-IR"/>
        </w:rPr>
      </w:pPr>
      <w:r w:rsidRPr="0074299D">
        <w:rPr>
          <w:rFonts w:cs="Abz-2 (Badr)" w:hint="cs"/>
          <w:spacing w:val="-4"/>
          <w:sz w:val="28"/>
          <w:szCs w:val="28"/>
          <w:rtl/>
          <w:lang w:bidi="fa-IR"/>
        </w:rPr>
        <w:t>و ثانياً: آنچه که حکم بر آن در اين روايات مترتب شده است، صرف تدليس و غرور است نه تدليس و غروری که در نکاح واقع شده باشد و معلوم است که ذکر علت در موردی خاص از باب تطبيق سبب اختصاص علت به ان مورد نمی</w:t>
      </w:r>
      <w:r w:rsidRPr="0074299D">
        <w:rPr>
          <w:rFonts w:cs="Abz-2 (Badr)"/>
          <w:spacing w:val="-4"/>
          <w:sz w:val="28"/>
          <w:szCs w:val="28"/>
          <w:rtl/>
          <w:lang w:bidi="fa-IR"/>
        </w:rPr>
        <w:softHyphen/>
      </w:r>
      <w:r w:rsidRPr="0074299D">
        <w:rPr>
          <w:rFonts w:cs="Abz-2 (Badr)" w:hint="cs"/>
          <w:spacing w:val="-4"/>
          <w:sz w:val="28"/>
          <w:szCs w:val="28"/>
          <w:rtl/>
          <w:lang w:bidi="fa-IR"/>
        </w:rPr>
        <w:t>شود.</w:t>
      </w:r>
    </w:p>
    <w:sectPr w:rsidR="009E2B08" w:rsidRPr="0074299D">
      <w:footerReference w:type="default" r:id="rId7"/>
      <w:footnotePr>
        <w:numRestart w:val="eachPage"/>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3A2CA3" w14:textId="77777777" w:rsidR="00F71127" w:rsidRDefault="00F71127" w:rsidP="00F71127">
      <w:pPr>
        <w:spacing w:after="0" w:line="240" w:lineRule="auto"/>
      </w:pPr>
      <w:r>
        <w:separator/>
      </w:r>
    </w:p>
  </w:endnote>
  <w:endnote w:type="continuationSeparator" w:id="0">
    <w:p w14:paraId="49F2F136" w14:textId="77777777" w:rsidR="00F71127" w:rsidRDefault="00F71127"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panose1 w:val="00000400000000000000"/>
    <w:charset w:val="B2"/>
    <w:family w:val="auto"/>
    <w:pitch w:val="variable"/>
    <w:sig w:usb0="00002001" w:usb1="00000000" w:usb2="00000000" w:usb3="00000000" w:csb0="0000004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461F53" w14:textId="77777777" w:rsidR="00F71127" w:rsidRDefault="00F71127" w:rsidP="00EE25C0">
      <w:pPr>
        <w:bidi/>
        <w:spacing w:after="0" w:line="240" w:lineRule="auto"/>
      </w:pPr>
      <w:r>
        <w:separator/>
      </w:r>
    </w:p>
  </w:footnote>
  <w:footnote w:type="continuationSeparator" w:id="0">
    <w:p w14:paraId="2C11652C" w14:textId="77777777" w:rsidR="00F71127" w:rsidRDefault="00F71127" w:rsidP="00F71127">
      <w:pPr>
        <w:bidi/>
        <w:spacing w:after="0" w:line="240" w:lineRule="auto"/>
      </w:pPr>
      <w:r>
        <w:continuationSeparator/>
      </w:r>
    </w:p>
  </w:footnote>
  <w:footnote w:id="1">
    <w:p w14:paraId="486CF7DB" w14:textId="77777777" w:rsidR="009E2B08" w:rsidRPr="00655B6C" w:rsidRDefault="009E2B08" w:rsidP="009E2B08">
      <w:pPr>
        <w:pStyle w:val="FootnoteText"/>
        <w:bidi/>
        <w:rPr>
          <w:rFonts w:cs="Abz-2 (Badr)"/>
          <w:sz w:val="22"/>
          <w:szCs w:val="22"/>
        </w:rPr>
      </w:pPr>
      <w:r w:rsidRPr="00655B6C">
        <w:rPr>
          <w:rFonts w:cs="Abz-2 (Badr)"/>
          <w:sz w:val="22"/>
          <w:szCs w:val="22"/>
        </w:rPr>
        <w:footnoteRef/>
      </w:r>
      <w:r w:rsidRPr="00655B6C">
        <w:rPr>
          <w:rFonts w:cs="Abz-2 (Badr)" w:hint="cs"/>
          <w:sz w:val="22"/>
          <w:szCs w:val="22"/>
          <w:rtl/>
        </w:rPr>
        <w:t xml:space="preserve"> ـ </w:t>
      </w:r>
      <w:r>
        <w:rPr>
          <w:rFonts w:cs="Abz-2 (Badr)" w:hint="cs"/>
          <w:sz w:val="22"/>
          <w:szCs w:val="22"/>
          <w:rtl/>
        </w:rPr>
        <w:t>حياة المحقّق الکرکي وآثاره،ج9،حاشية إرشاد الأذهان،ص338</w:t>
      </w:r>
      <w:r w:rsidRPr="00655B6C">
        <w:rPr>
          <w:rFonts w:cs="Abz-2 (Badr)" w:hint="cs"/>
          <w:sz w:val="22"/>
          <w:szCs w:val="22"/>
          <w:rtl/>
        </w:rPr>
        <w:t>.</w:t>
      </w:r>
    </w:p>
  </w:footnote>
  <w:footnote w:id="2">
    <w:p w14:paraId="176D7337" w14:textId="77777777" w:rsidR="009E2B08" w:rsidRPr="002D27AB" w:rsidRDefault="009E2B08" w:rsidP="009E2B08">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کافی،ج5،ص408،ح13 ـ وسائل،ج21،ص220،ح26938.</w:t>
      </w:r>
    </w:p>
  </w:footnote>
  <w:footnote w:id="3">
    <w:p w14:paraId="5CE9B29C" w14:textId="77777777" w:rsidR="009E2B08" w:rsidRPr="002D27AB" w:rsidRDefault="009E2B08" w:rsidP="009E2B08">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کافي،ج5،ص407،ح9 ـ وسائل،ج21،ص217 و 218،ح26934.</w:t>
      </w:r>
    </w:p>
  </w:footnote>
  <w:footnote w:id="4">
    <w:p w14:paraId="0C75FC44" w14:textId="77777777" w:rsidR="009E2B08" w:rsidRPr="002D27AB" w:rsidRDefault="009E2B08" w:rsidP="009E2B08">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تهذيب،ج7،ص424 و 425،ح1697 ـ وسائل،ج21،ص212،ح26920.</w:t>
      </w:r>
    </w:p>
  </w:footnote>
  <w:footnote w:id="5">
    <w:p w14:paraId="255B7E44" w14:textId="77777777" w:rsidR="009E2B08" w:rsidRPr="002D27AB" w:rsidRDefault="009E2B08" w:rsidP="009E2B08">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کافي،ج5،ص408،ح14 ـ وسائل،ج21،ص208،ح26909.</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577BF"/>
    <w:rsid w:val="0007062A"/>
    <w:rsid w:val="00084447"/>
    <w:rsid w:val="000879BF"/>
    <w:rsid w:val="0009649A"/>
    <w:rsid w:val="000B64A7"/>
    <w:rsid w:val="000E1CDA"/>
    <w:rsid w:val="000E2156"/>
    <w:rsid w:val="000F2E50"/>
    <w:rsid w:val="00101B80"/>
    <w:rsid w:val="001050A2"/>
    <w:rsid w:val="001420FB"/>
    <w:rsid w:val="00145844"/>
    <w:rsid w:val="00150806"/>
    <w:rsid w:val="0015228E"/>
    <w:rsid w:val="001922E4"/>
    <w:rsid w:val="001D1305"/>
    <w:rsid w:val="001D4A4D"/>
    <w:rsid w:val="0021414D"/>
    <w:rsid w:val="00295DC1"/>
    <w:rsid w:val="0029688A"/>
    <w:rsid w:val="002A09CF"/>
    <w:rsid w:val="002C7D85"/>
    <w:rsid w:val="002D27AB"/>
    <w:rsid w:val="002E0246"/>
    <w:rsid w:val="00331A5F"/>
    <w:rsid w:val="00335969"/>
    <w:rsid w:val="003361EF"/>
    <w:rsid w:val="003A1222"/>
    <w:rsid w:val="003A199D"/>
    <w:rsid w:val="00487869"/>
    <w:rsid w:val="00521235"/>
    <w:rsid w:val="005327C7"/>
    <w:rsid w:val="005532E0"/>
    <w:rsid w:val="005751F1"/>
    <w:rsid w:val="005B6905"/>
    <w:rsid w:val="0060689C"/>
    <w:rsid w:val="00621F9A"/>
    <w:rsid w:val="00625979"/>
    <w:rsid w:val="006A4420"/>
    <w:rsid w:val="006B2F35"/>
    <w:rsid w:val="006C580F"/>
    <w:rsid w:val="0070259D"/>
    <w:rsid w:val="00703021"/>
    <w:rsid w:val="00706DD2"/>
    <w:rsid w:val="00731C05"/>
    <w:rsid w:val="007374CF"/>
    <w:rsid w:val="00750FB1"/>
    <w:rsid w:val="00875CD7"/>
    <w:rsid w:val="008869B4"/>
    <w:rsid w:val="008C3DDD"/>
    <w:rsid w:val="008D1155"/>
    <w:rsid w:val="008D55B7"/>
    <w:rsid w:val="008F3842"/>
    <w:rsid w:val="00901208"/>
    <w:rsid w:val="00920965"/>
    <w:rsid w:val="009251BE"/>
    <w:rsid w:val="00940DC9"/>
    <w:rsid w:val="00943CA6"/>
    <w:rsid w:val="009A3CA7"/>
    <w:rsid w:val="009C1C9D"/>
    <w:rsid w:val="009D42F6"/>
    <w:rsid w:val="009E2B08"/>
    <w:rsid w:val="00A1285F"/>
    <w:rsid w:val="00A17467"/>
    <w:rsid w:val="00A62A68"/>
    <w:rsid w:val="00A75FB0"/>
    <w:rsid w:val="00A840BC"/>
    <w:rsid w:val="00A96A24"/>
    <w:rsid w:val="00AB148E"/>
    <w:rsid w:val="00B651F0"/>
    <w:rsid w:val="00B74659"/>
    <w:rsid w:val="00BB28BF"/>
    <w:rsid w:val="00BD6EF3"/>
    <w:rsid w:val="00C004FA"/>
    <w:rsid w:val="00C01832"/>
    <w:rsid w:val="00C05C27"/>
    <w:rsid w:val="00C8378C"/>
    <w:rsid w:val="00C9359C"/>
    <w:rsid w:val="00C9572F"/>
    <w:rsid w:val="00CA0BC4"/>
    <w:rsid w:val="00CD52E6"/>
    <w:rsid w:val="00D20C84"/>
    <w:rsid w:val="00D22A70"/>
    <w:rsid w:val="00D663C8"/>
    <w:rsid w:val="00D81BE3"/>
    <w:rsid w:val="00D97411"/>
    <w:rsid w:val="00DC37E2"/>
    <w:rsid w:val="00E01FDF"/>
    <w:rsid w:val="00E214D7"/>
    <w:rsid w:val="00E2487C"/>
    <w:rsid w:val="00E55342"/>
    <w:rsid w:val="00E6533A"/>
    <w:rsid w:val="00E749D3"/>
    <w:rsid w:val="00E77A81"/>
    <w:rsid w:val="00ED7F5C"/>
    <w:rsid w:val="00EE25C0"/>
    <w:rsid w:val="00F46AE2"/>
    <w:rsid w:val="00F46E3E"/>
    <w:rsid w:val="00F5720C"/>
    <w:rsid w:val="00F71127"/>
    <w:rsid w:val="00FC64C4"/>
    <w:rsid w:val="00FF55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FF884"/>
  <w15:chartTrackingRefBased/>
  <w15:docId w15:val="{48489C64-85C9-42DB-A4D9-603EA0B14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711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2</Pages>
  <Words>514</Words>
  <Characters>2932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 Mousavi</cp:lastModifiedBy>
  <cp:revision>24</cp:revision>
  <cp:lastPrinted>2022-10-17T08:38:00Z</cp:lastPrinted>
  <dcterms:created xsi:type="dcterms:W3CDTF">2022-10-16T08:36:00Z</dcterms:created>
  <dcterms:modified xsi:type="dcterms:W3CDTF">2022-10-23T06:36:00Z</dcterms:modified>
</cp:coreProperties>
</file>