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0B437886"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70259D">
        <w:rPr>
          <w:rFonts w:cs="B Mitra" w:hint="cs"/>
          <w:b/>
          <w:bCs/>
          <w:sz w:val="32"/>
          <w:szCs w:val="32"/>
          <w:rtl/>
          <w:lang w:bidi="fa-IR"/>
        </w:rPr>
        <w:t>4</w:t>
      </w:r>
      <w:r w:rsidR="005327C7">
        <w:rPr>
          <w:rFonts w:cs="B Mitra" w:hint="cs"/>
          <w:b/>
          <w:bCs/>
          <w:sz w:val="32"/>
          <w:szCs w:val="32"/>
          <w:rtl/>
          <w:lang w:bidi="fa-IR"/>
        </w:rPr>
        <w:t>9</w:t>
      </w:r>
      <w:r w:rsidR="00D20C84">
        <w:rPr>
          <w:rFonts w:cs="B Mitra" w:hint="cs"/>
          <w:b/>
          <w:bCs/>
          <w:sz w:val="32"/>
          <w:szCs w:val="32"/>
          <w:rtl/>
          <w:lang w:bidi="fa-IR"/>
        </w:rPr>
        <w:t>9</w:t>
      </w:r>
    </w:p>
    <w:p w14:paraId="41497A06" w14:textId="77777777" w:rsidR="00D20C84" w:rsidRPr="00377319" w:rsidRDefault="00D20C84" w:rsidP="00D20C84">
      <w:pPr>
        <w:widowControl w:val="0"/>
        <w:bidi/>
        <w:spacing w:after="0" w:line="262" w:lineRule="auto"/>
        <w:ind w:firstLine="284"/>
        <w:jc w:val="both"/>
        <w:rPr>
          <w:rFonts w:cs="Abz-2 (Badr)"/>
          <w:color w:val="000000" w:themeColor="text1"/>
          <w:sz w:val="28"/>
          <w:szCs w:val="28"/>
          <w:lang w:bidi="fa-IR"/>
        </w:rPr>
      </w:pPr>
      <w:bookmarkStart w:id="0" w:name="_Hlk116244902"/>
      <w:r>
        <w:rPr>
          <w:rFonts w:cs="Abz-2 (Badr)" w:hint="cs"/>
          <w:color w:val="000000" w:themeColor="text1"/>
          <w:sz w:val="28"/>
          <w:szCs w:val="28"/>
          <w:rtl/>
          <w:lang w:bidi="fa-IR"/>
        </w:rPr>
        <w:t>وقال الشيخ في المکاسب: «</w:t>
      </w:r>
      <w:r w:rsidRPr="00377319">
        <w:rPr>
          <w:rFonts w:cs="Abz-2 (Badr)"/>
          <w:color w:val="000000" w:themeColor="text1"/>
          <w:sz w:val="28"/>
          <w:szCs w:val="28"/>
          <w:rtl/>
          <w:lang w:bidi="fa-IR"/>
        </w:rPr>
        <w:t>ما غرمه في مقابل النفع الواصل إليه من المنافع والنماء ففي الرجوع بها خلاف، أقواها الرجوع؛ وفاقاً للمحكيّ‌ عن المبسوط والمحقّق والعلامة في التجارة والشهيدين والمحقّق</w:t>
      </w:r>
      <w:r w:rsidRPr="00377319">
        <w:rPr>
          <w:rFonts w:cs="Abz-2 (Badr)" w:hint="cs"/>
          <w:color w:val="000000" w:themeColor="text1"/>
          <w:sz w:val="28"/>
          <w:szCs w:val="28"/>
          <w:rtl/>
          <w:lang w:bidi="fa-IR"/>
        </w:rPr>
        <w:t xml:space="preserve"> </w:t>
      </w:r>
      <w:r w:rsidRPr="00377319">
        <w:rPr>
          <w:rFonts w:cs="Abz-2 (Badr)"/>
          <w:color w:val="000000" w:themeColor="text1"/>
          <w:sz w:val="28"/>
          <w:szCs w:val="28"/>
          <w:rtl/>
          <w:lang w:bidi="fa-IR"/>
        </w:rPr>
        <w:t>الثاني وغيرهم</w:t>
      </w:r>
      <w:r>
        <w:rPr>
          <w:rFonts w:cs="Abz-2 (Badr)" w:hint="cs"/>
          <w:color w:val="000000" w:themeColor="text1"/>
          <w:sz w:val="28"/>
          <w:szCs w:val="28"/>
          <w:rtl/>
          <w:lang w:bidi="fa-IR"/>
        </w:rPr>
        <w:t>.</w:t>
      </w:r>
      <w:r w:rsidRPr="00377319">
        <w:rPr>
          <w:rFonts w:cs="Abz-2 (Badr)"/>
          <w:color w:val="000000" w:themeColor="text1"/>
          <w:sz w:val="28"/>
          <w:szCs w:val="28"/>
          <w:rtl/>
          <w:lang w:bidi="fa-IR"/>
        </w:rPr>
        <w:t xml:space="preserve"> وعن التنقيح: أنّ‌ عليه الفتوى؛ لقاعدة الغرور المتّفق عليها ظاهراً في من قدّم مال الغير إلى غيره الجاهل فأكله. </w:t>
      </w:r>
    </w:p>
    <w:p w14:paraId="3ADB153E" w14:textId="77777777" w:rsidR="00D20C84" w:rsidRPr="00377319" w:rsidRDefault="00D20C84" w:rsidP="00D20C84">
      <w:pPr>
        <w:widowControl w:val="0"/>
        <w:bidi/>
        <w:spacing w:after="0" w:line="262" w:lineRule="auto"/>
        <w:ind w:firstLine="284"/>
        <w:jc w:val="both"/>
        <w:rPr>
          <w:rFonts w:cs="Abz-2 (Badr)"/>
          <w:color w:val="000000" w:themeColor="text1"/>
          <w:sz w:val="28"/>
          <w:szCs w:val="28"/>
          <w:rtl/>
          <w:lang w:bidi="fa-IR"/>
        </w:rPr>
      </w:pPr>
      <w:r w:rsidRPr="00377319">
        <w:rPr>
          <w:rFonts w:cs="Abz-2 (Badr)"/>
          <w:color w:val="000000" w:themeColor="text1"/>
          <w:sz w:val="28"/>
          <w:szCs w:val="28"/>
          <w:rtl/>
          <w:lang w:bidi="fa-IR"/>
        </w:rPr>
        <w:t xml:space="preserve">ويؤيّده: قاعدة نفي الضرر؛ فإنّ‌ تغريم من أقدم على إتلاف شيء من دون عوض مغروراً من آخر بأنّ‌ له ذلك مجّاناً من دون الحكم برجوعه إلى من غرّه، في ذلك ضرر عظيم، ومجرّد رجوع عوضه إليه لا يدفع الضرر. </w:t>
      </w:r>
    </w:p>
    <w:p w14:paraId="01CAB5EE" w14:textId="77777777" w:rsidR="00D20C84" w:rsidRPr="00377319" w:rsidRDefault="00D20C84" w:rsidP="00D20C84">
      <w:pPr>
        <w:widowControl w:val="0"/>
        <w:bidi/>
        <w:spacing w:after="0" w:line="262" w:lineRule="auto"/>
        <w:ind w:firstLine="284"/>
        <w:jc w:val="both"/>
        <w:rPr>
          <w:rFonts w:cs="Abz-2 (Badr)"/>
          <w:color w:val="000000" w:themeColor="text1"/>
          <w:sz w:val="28"/>
          <w:szCs w:val="28"/>
          <w:rtl/>
          <w:lang w:bidi="fa-IR"/>
        </w:rPr>
      </w:pPr>
      <w:r w:rsidRPr="00377319">
        <w:rPr>
          <w:rFonts w:cs="Abz-2 (Badr)"/>
          <w:color w:val="000000" w:themeColor="text1"/>
          <w:sz w:val="28"/>
          <w:szCs w:val="28"/>
          <w:rtl/>
          <w:lang w:bidi="fa-IR"/>
        </w:rPr>
        <w:t xml:space="preserve">وكيف كان فصدق الضرر وإضرار الغارّ به ممّا لا يخفى، خصوصاً في بعض الموارد. </w:t>
      </w:r>
    </w:p>
    <w:p w14:paraId="58B22D19" w14:textId="77777777" w:rsidR="00D20C84" w:rsidRPr="00377319" w:rsidRDefault="00D20C84" w:rsidP="00D20C84">
      <w:pPr>
        <w:widowControl w:val="0"/>
        <w:bidi/>
        <w:spacing w:after="0" w:line="262" w:lineRule="auto"/>
        <w:ind w:firstLine="284"/>
        <w:jc w:val="both"/>
        <w:rPr>
          <w:rFonts w:cs="Abz-2 (Badr)"/>
          <w:color w:val="000000" w:themeColor="text1"/>
          <w:sz w:val="28"/>
          <w:szCs w:val="28"/>
          <w:rtl/>
          <w:lang w:bidi="fa-IR"/>
        </w:rPr>
      </w:pPr>
      <w:r w:rsidRPr="00377319">
        <w:rPr>
          <w:rFonts w:cs="Abz-2 (Badr)"/>
          <w:color w:val="000000" w:themeColor="text1"/>
          <w:sz w:val="28"/>
          <w:szCs w:val="28"/>
          <w:rtl/>
          <w:lang w:bidi="fa-IR"/>
        </w:rPr>
        <w:t xml:space="preserve">فما في الرياض من أنّه لا دليل على قاعدة الغرور إذا لم ينطبق مع قاعدة نفي الضرر المفقود في المقام لوصول العوض إلى المشتري، لا يخلو عن شيء. </w:t>
      </w:r>
    </w:p>
    <w:p w14:paraId="4678F66B" w14:textId="77777777" w:rsidR="00D20C84" w:rsidRPr="00377319" w:rsidRDefault="00D20C84" w:rsidP="00D20C84">
      <w:pPr>
        <w:widowControl w:val="0"/>
        <w:bidi/>
        <w:spacing w:after="0" w:line="262" w:lineRule="auto"/>
        <w:ind w:firstLine="284"/>
        <w:jc w:val="both"/>
        <w:rPr>
          <w:rFonts w:cs="Abz-2 (Badr)"/>
          <w:color w:val="000000" w:themeColor="text1"/>
          <w:sz w:val="28"/>
          <w:szCs w:val="28"/>
          <w:rtl/>
          <w:lang w:bidi="fa-IR"/>
        </w:rPr>
      </w:pPr>
      <w:r w:rsidRPr="00377319">
        <w:rPr>
          <w:rFonts w:cs="Abz-2 (Badr)"/>
          <w:color w:val="000000" w:themeColor="text1"/>
          <w:sz w:val="28"/>
          <w:szCs w:val="28"/>
          <w:rtl/>
          <w:lang w:bidi="fa-IR"/>
        </w:rPr>
        <w:t xml:space="preserve">مضافاً إلى ما قيل عليه من منع مدخليّة الضرر في قاعدة الغرور، بل هي مبنيّة على قوّة السبب على المباشر. </w:t>
      </w:r>
    </w:p>
    <w:p w14:paraId="29924BA7" w14:textId="77777777" w:rsidR="00D20C84" w:rsidRDefault="00D20C84" w:rsidP="00D20C84">
      <w:pPr>
        <w:widowControl w:val="0"/>
        <w:bidi/>
        <w:spacing w:after="0" w:line="262" w:lineRule="auto"/>
        <w:ind w:firstLine="284"/>
        <w:jc w:val="both"/>
        <w:rPr>
          <w:rFonts w:cs="Abz-2 (Badr)"/>
          <w:color w:val="000000" w:themeColor="text1"/>
          <w:sz w:val="28"/>
          <w:szCs w:val="28"/>
          <w:rtl/>
          <w:lang w:bidi="fa-IR"/>
        </w:rPr>
      </w:pPr>
      <w:r w:rsidRPr="00377319">
        <w:rPr>
          <w:rFonts w:cs="Abz-2 (Badr)"/>
          <w:color w:val="000000" w:themeColor="text1"/>
          <w:sz w:val="28"/>
          <w:szCs w:val="28"/>
          <w:rtl/>
          <w:lang w:bidi="fa-IR"/>
        </w:rPr>
        <w:t>لكنّه لا يخلو من نظر؛ لأنّه إنّما يدّعي اختصاص دليل الغرور من النصوص الخاصّة والإجماع بصورة الضرر.</w:t>
      </w:r>
    </w:p>
    <w:p w14:paraId="6C6D04E8" w14:textId="77777777" w:rsidR="00D20C84" w:rsidRDefault="00D20C84" w:rsidP="00D20C84">
      <w:pPr>
        <w:widowControl w:val="0"/>
        <w:bidi/>
        <w:spacing w:after="0" w:line="262" w:lineRule="auto"/>
        <w:ind w:firstLine="284"/>
        <w:jc w:val="both"/>
        <w:rPr>
          <w:rFonts w:cs="Abz-2 (Badr)"/>
          <w:color w:val="000000" w:themeColor="text1"/>
          <w:sz w:val="28"/>
          <w:szCs w:val="28"/>
          <w:rtl/>
          <w:lang w:bidi="fa-IR"/>
        </w:rPr>
      </w:pPr>
      <w:r w:rsidRPr="00377319">
        <w:rPr>
          <w:rFonts w:cs="Abz-2 (Badr)"/>
          <w:color w:val="000000" w:themeColor="text1"/>
          <w:sz w:val="28"/>
          <w:szCs w:val="28"/>
          <w:rtl/>
          <w:lang w:bidi="fa-IR"/>
        </w:rPr>
        <w:t xml:space="preserve">وأمّا قوّة السبب على المباشر فليست بنفسها دليلاً على رجوع المغرور إلا إذا كان السبب بحيث استند التلف عرفاً إليه، </w:t>
      </w:r>
      <w:r>
        <w:rPr>
          <w:rFonts w:cs="Abz-2 (Badr)" w:hint="cs"/>
          <w:color w:val="000000" w:themeColor="text1"/>
          <w:sz w:val="28"/>
          <w:szCs w:val="28"/>
          <w:rtl/>
          <w:lang w:bidi="fa-IR"/>
        </w:rPr>
        <w:t xml:space="preserve">ـ </w:t>
      </w:r>
      <w:r w:rsidRPr="00377319">
        <w:rPr>
          <w:rFonts w:cs="Abz-2 (Badr)"/>
          <w:color w:val="000000" w:themeColor="text1"/>
          <w:sz w:val="28"/>
          <w:szCs w:val="28"/>
          <w:rtl/>
          <w:lang w:bidi="fa-IR"/>
        </w:rPr>
        <w:t>كما في المُكْرَه</w:t>
      </w:r>
      <w:r>
        <w:rPr>
          <w:rFonts w:cs="Abz-2 (Badr)" w:hint="cs"/>
          <w:color w:val="000000" w:themeColor="text1"/>
          <w:sz w:val="28"/>
          <w:szCs w:val="28"/>
          <w:rtl/>
          <w:lang w:bidi="fa-IR"/>
        </w:rPr>
        <w:t>،</w:t>
      </w:r>
      <w:r w:rsidRPr="00377319">
        <w:rPr>
          <w:rFonts w:cs="Abz-2 (Badr)"/>
          <w:color w:val="000000" w:themeColor="text1"/>
          <w:sz w:val="28"/>
          <w:szCs w:val="28"/>
          <w:rtl/>
          <w:lang w:bidi="fa-IR"/>
        </w:rPr>
        <w:t xml:space="preserve"> وكما في الريح العاصف الموجب للإحراق، والشمس الموجبة لإذابة الدهن وإراقتها</w:t>
      </w:r>
      <w:r>
        <w:rPr>
          <w:rFonts w:cs="Abz-2 (Badr)" w:hint="cs"/>
          <w:color w:val="000000" w:themeColor="text1"/>
          <w:sz w:val="28"/>
          <w:szCs w:val="28"/>
          <w:rtl/>
          <w:lang w:bidi="fa-IR"/>
        </w:rPr>
        <w:t xml:space="preserve"> ـ </w:t>
      </w:r>
      <w:r w:rsidRPr="00377319">
        <w:rPr>
          <w:rFonts w:cs="Abz-2 (Badr)"/>
          <w:color w:val="000000" w:themeColor="text1"/>
          <w:sz w:val="28"/>
          <w:szCs w:val="28"/>
          <w:rtl/>
          <w:lang w:bidi="fa-IR"/>
        </w:rPr>
        <w:t>والمتّجه في مثل ذلك عدم الرجوع إلى المباشر أصلاً، كما نُسب إلى ظاهر الأصحاب في المكره؛ لكون المباشر بمنزلة الآلة</w:t>
      </w:r>
      <w:r>
        <w:rPr>
          <w:rFonts w:cs="Abz-2 (Badr)" w:hint="cs"/>
          <w:color w:val="000000" w:themeColor="text1"/>
          <w:sz w:val="28"/>
          <w:szCs w:val="28"/>
          <w:rtl/>
          <w:lang w:bidi="fa-IR"/>
        </w:rPr>
        <w:t>.</w:t>
      </w:r>
    </w:p>
    <w:p w14:paraId="2D621DD0" w14:textId="77777777" w:rsidR="00D20C84" w:rsidRPr="00377319" w:rsidRDefault="00D20C84" w:rsidP="00D20C84">
      <w:pPr>
        <w:widowControl w:val="0"/>
        <w:bidi/>
        <w:spacing w:after="0" w:line="262" w:lineRule="auto"/>
        <w:ind w:firstLine="284"/>
        <w:jc w:val="both"/>
        <w:rPr>
          <w:rFonts w:cs="Abz-2 (Badr)"/>
          <w:color w:val="000000" w:themeColor="text1"/>
          <w:sz w:val="28"/>
          <w:szCs w:val="28"/>
          <w:rtl/>
          <w:lang w:bidi="fa-IR"/>
        </w:rPr>
      </w:pPr>
      <w:r w:rsidRPr="00377319">
        <w:rPr>
          <w:rFonts w:cs="Abz-2 (Badr)"/>
          <w:color w:val="000000" w:themeColor="text1"/>
          <w:sz w:val="28"/>
          <w:szCs w:val="28"/>
          <w:rtl/>
          <w:lang w:bidi="fa-IR"/>
        </w:rPr>
        <w:t xml:space="preserve">و أمّا في غير ذلك فالضمان أو قرار الضمان فيه يحتاج إلى دليل مفقود، فلابدّ من الرجوع بالأخرة إلى قاعدة الضرر، أو الإجماع المدّعى في الإيضاح على تقديم السبب إذا كان أقوى، أو بالأخبار الواردة في الموارد المتفرّقة، أو كون الغارّ سبباً في تغريم المغرور، فكان كشاهد الزور في ضمان ما يؤخذ بشهادته. </w:t>
      </w:r>
    </w:p>
    <w:p w14:paraId="281E6CD6" w14:textId="77777777" w:rsidR="00D20C84" w:rsidRPr="00377319" w:rsidRDefault="00D20C84" w:rsidP="00D20C84">
      <w:pPr>
        <w:widowControl w:val="0"/>
        <w:bidi/>
        <w:spacing w:after="0" w:line="262" w:lineRule="auto"/>
        <w:ind w:firstLine="284"/>
        <w:jc w:val="both"/>
        <w:rPr>
          <w:rFonts w:cs="Abz-2 (Badr)"/>
          <w:color w:val="000000" w:themeColor="text1"/>
          <w:sz w:val="28"/>
          <w:szCs w:val="28"/>
          <w:lang w:bidi="fa-IR"/>
        </w:rPr>
      </w:pPr>
      <w:r w:rsidRPr="00377319">
        <w:rPr>
          <w:rFonts w:cs="Abz-2 (Badr)"/>
          <w:color w:val="000000" w:themeColor="text1"/>
          <w:sz w:val="28"/>
          <w:szCs w:val="28"/>
          <w:rtl/>
          <w:lang w:bidi="fa-IR"/>
        </w:rPr>
        <w:t>ولا ريب في ثبوت هذه الوجوه فيما نحن فيه، أمّا الأخير فواضح، وأمّا الأوّل فقد عرفته، وأمّا الإجماع والأخبار فهما وإن لم يردا في خصوص المسألة، إلا أنّ‌ تحقّقهما في نظائر المسألة كافٍ‌، فإن</w:t>
      </w:r>
      <w:r>
        <w:rPr>
          <w:rFonts w:cs="Abz-2 (Badr)" w:hint="cs"/>
          <w:color w:val="000000" w:themeColor="text1"/>
          <w:sz w:val="28"/>
          <w:szCs w:val="28"/>
          <w:rtl/>
          <w:lang w:bidi="fa-IR"/>
        </w:rPr>
        <w:t xml:space="preserve">ّ </w:t>
      </w:r>
      <w:r w:rsidRPr="00377319">
        <w:rPr>
          <w:rFonts w:cs="Abz-2 (Badr)"/>
          <w:color w:val="000000" w:themeColor="text1"/>
          <w:sz w:val="28"/>
          <w:szCs w:val="28"/>
          <w:rtl/>
          <w:lang w:bidi="fa-IR"/>
        </w:rPr>
        <w:t>رجوع آكل طعام الغير إلى من غرّه بدعوى تملّكه وإباحته له مورد الإجماع ظاهراً، ورجوع المحكوم عليه إلى شاهدي الزور مورد الأخبار، ولا يوجد فرق بينهما وبين ما نحن فيه أصلاً.</w:t>
      </w:r>
    </w:p>
    <w:p w14:paraId="32421107" w14:textId="2B6EEF51" w:rsidR="00D20C84" w:rsidRDefault="00D20C84" w:rsidP="00D20C84">
      <w:pPr>
        <w:widowControl w:val="0"/>
        <w:bidi/>
        <w:spacing w:after="0" w:line="262" w:lineRule="auto"/>
        <w:ind w:firstLine="284"/>
        <w:jc w:val="both"/>
        <w:rPr>
          <w:rFonts w:cs="Abz-2 (Badr)"/>
          <w:color w:val="000000" w:themeColor="text1"/>
          <w:sz w:val="28"/>
          <w:szCs w:val="28"/>
          <w:rtl/>
          <w:lang w:bidi="fa-IR"/>
        </w:rPr>
      </w:pPr>
      <w:r w:rsidRPr="00377319">
        <w:rPr>
          <w:rFonts w:cs="Abz-2 (Badr)"/>
          <w:color w:val="000000" w:themeColor="text1"/>
          <w:sz w:val="28"/>
          <w:szCs w:val="28"/>
          <w:rtl/>
          <w:lang w:bidi="fa-IR"/>
        </w:rPr>
        <w:t xml:space="preserve">وقد ظهر ممّا ذكرنا فساد منع الغرور فيما نحن فيه </w:t>
      </w:r>
      <w:r>
        <w:rPr>
          <w:rFonts w:cs="Abz-2 (Badr)" w:hint="cs"/>
          <w:color w:val="000000" w:themeColor="text1"/>
          <w:sz w:val="28"/>
          <w:szCs w:val="28"/>
          <w:rtl/>
          <w:lang w:bidi="fa-IR"/>
        </w:rPr>
        <w:t xml:space="preserve">ـ </w:t>
      </w:r>
      <w:r w:rsidRPr="00377319">
        <w:rPr>
          <w:rFonts w:cs="Abz-2 (Badr)"/>
          <w:color w:val="000000" w:themeColor="text1"/>
          <w:sz w:val="28"/>
          <w:szCs w:val="28"/>
          <w:rtl/>
          <w:lang w:bidi="fa-IR"/>
        </w:rPr>
        <w:t xml:space="preserve">كما في كلام بعض </w:t>
      </w:r>
      <w:r>
        <w:rPr>
          <w:rFonts w:cs="Abz-2 (Badr)" w:hint="cs"/>
          <w:color w:val="000000" w:themeColor="text1"/>
          <w:sz w:val="28"/>
          <w:szCs w:val="28"/>
          <w:rtl/>
          <w:lang w:bidi="fa-IR"/>
        </w:rPr>
        <w:t xml:space="preserve">ـ </w:t>
      </w:r>
      <w:r w:rsidRPr="00377319">
        <w:rPr>
          <w:rFonts w:cs="Abz-2 (Badr)"/>
          <w:color w:val="000000" w:themeColor="text1"/>
          <w:sz w:val="28"/>
          <w:szCs w:val="28"/>
          <w:rtl/>
          <w:lang w:bidi="fa-IR"/>
        </w:rPr>
        <w:t>حيث عدل في ردّ مستند المشهور عمّا في الرياض</w:t>
      </w:r>
      <w:r w:rsidRPr="00377319">
        <w:rPr>
          <w:rFonts w:cs="Abz-2 (Badr)" w:hint="cs"/>
          <w:color w:val="000000" w:themeColor="text1"/>
          <w:sz w:val="28"/>
          <w:szCs w:val="28"/>
          <w:rtl/>
          <w:lang w:bidi="fa-IR"/>
        </w:rPr>
        <w:t xml:space="preserve"> </w:t>
      </w:r>
      <w:r w:rsidRPr="00377319">
        <w:rPr>
          <w:rFonts w:cs="Abz-2 (Badr)"/>
          <w:color w:val="000000" w:themeColor="text1"/>
          <w:sz w:val="28"/>
          <w:szCs w:val="28"/>
          <w:rtl/>
          <w:lang w:bidi="fa-IR"/>
        </w:rPr>
        <w:t xml:space="preserve">من منع الكبرى إلى منع الصغرى، فإنّ‌ الإنصاف أنّ‌ مفهوم الغرور الموجب للرجوع في باب الإتلاف وإن كان غير </w:t>
      </w:r>
      <w:r w:rsidRPr="00377319">
        <w:rPr>
          <w:rFonts w:cs="Abz-2 (Badr)"/>
          <w:color w:val="000000" w:themeColor="text1"/>
          <w:sz w:val="28"/>
          <w:szCs w:val="28"/>
          <w:rtl/>
          <w:lang w:bidi="fa-IR"/>
        </w:rPr>
        <w:lastRenderedPageBreak/>
        <w:t>منقّح إلا أنّ‌ المتيقّن منه ما كان إتلاف المغرور لمال الغير وإثبات يده عليه لا بعنوان أنّه مال الغير، بل قصده إلى إتلافه مال نفسه أو مال من أباح له الإتلاف، فيكون غير قاصد لإتلاف مال الغير، فيشبه المُكرَه في عدم القصد.</w:t>
      </w:r>
      <w:r>
        <w:rPr>
          <w:rFonts w:cs="Abz-2 (Badr)" w:hint="cs"/>
          <w:color w:val="000000" w:themeColor="text1"/>
          <w:sz w:val="28"/>
          <w:szCs w:val="28"/>
          <w:rtl/>
          <w:lang w:bidi="fa-IR"/>
        </w:rPr>
        <w:t>»</w:t>
      </w:r>
      <w:r w:rsidRPr="00655B6C">
        <w:rPr>
          <w:rFonts w:cs="Abz-2 (Badr)"/>
          <w:color w:val="000000" w:themeColor="text1"/>
          <w:sz w:val="28"/>
          <w:szCs w:val="28"/>
          <w:vertAlign w:val="superscript"/>
          <w:rtl/>
          <w:lang w:bidi="fa-IR"/>
        </w:rPr>
        <w:footnoteReference w:id="1"/>
      </w:r>
    </w:p>
    <w:p w14:paraId="7A4B521D" w14:textId="77777777" w:rsidR="0021414D" w:rsidRDefault="0021414D" w:rsidP="0021414D">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وقال السيّد الخوئي: «إ</w:t>
      </w:r>
      <w:r w:rsidRPr="00115CC4">
        <w:rPr>
          <w:rFonts w:cs="Abz-2 (Badr)"/>
          <w:color w:val="000000" w:themeColor="text1"/>
          <w:sz w:val="28"/>
          <w:szCs w:val="28"/>
          <w:rtl/>
          <w:lang w:bidi="fa-IR"/>
        </w:rPr>
        <w:t>نّ‌ قاعدة الغرور لم يدلّ‌ عليها دليل ولا أساس لها بوجه لما تقدّم وعرفت، وأمّا الروايات الخاصّة فهي إنّما وردت في موارد خاصّة كضمان المزوّج للمهر فيما إذا زوّج أمة بعنوان أنّها حرّة، وكضمان المزوّج أيضاً لقيمة الولد، وأمّا في غيرهما فلم يثبت رجوع المغرور إلى الغار</w:t>
      </w:r>
      <w:r>
        <w:rPr>
          <w:rFonts w:cs="Abz-2 (Badr)" w:hint="cs"/>
          <w:color w:val="000000" w:themeColor="text1"/>
          <w:sz w:val="28"/>
          <w:szCs w:val="28"/>
          <w:rtl/>
          <w:lang w:bidi="fa-IR"/>
        </w:rPr>
        <w:t>ّ</w:t>
      </w:r>
      <w:r w:rsidRPr="00115CC4">
        <w:rPr>
          <w:rFonts w:cs="Abz-2 (Badr)"/>
          <w:color w:val="000000" w:themeColor="text1"/>
          <w:sz w:val="28"/>
          <w:szCs w:val="28"/>
          <w:rtl/>
          <w:lang w:bidi="fa-IR"/>
        </w:rPr>
        <w:t xml:space="preserve"> أبداً وإن كانت القاعدة مشهورة بينهم بل ادّعي ال</w:t>
      </w:r>
      <w:r>
        <w:rPr>
          <w:rFonts w:cs="Abz-2 (Badr)" w:hint="cs"/>
          <w:color w:val="000000" w:themeColor="text1"/>
          <w:sz w:val="28"/>
          <w:szCs w:val="28"/>
          <w:rtl/>
          <w:lang w:bidi="fa-IR"/>
        </w:rPr>
        <w:t>إ</w:t>
      </w:r>
      <w:r w:rsidRPr="00115CC4">
        <w:rPr>
          <w:rFonts w:cs="Abz-2 (Badr)"/>
          <w:color w:val="000000" w:themeColor="text1"/>
          <w:sz w:val="28"/>
          <w:szCs w:val="28"/>
          <w:rtl/>
          <w:lang w:bidi="fa-IR"/>
        </w:rPr>
        <w:t>جماع عليها كما نقله شيخنا الأنصاري</w:t>
      </w:r>
      <w:r>
        <w:rPr>
          <w:rFonts w:cs="Abz-2 (Badr)" w:hint="cs"/>
          <w:color w:val="000000" w:themeColor="text1"/>
          <w:sz w:val="28"/>
          <w:szCs w:val="28"/>
          <w:rtl/>
          <w:lang w:bidi="fa-IR"/>
        </w:rPr>
        <w:t>.»</w:t>
      </w:r>
      <w:r w:rsidRPr="00655B6C">
        <w:rPr>
          <w:rFonts w:cs="Abz-2 (Badr)"/>
          <w:color w:val="000000" w:themeColor="text1"/>
          <w:sz w:val="28"/>
          <w:szCs w:val="28"/>
          <w:vertAlign w:val="superscript"/>
          <w:rtl/>
          <w:lang w:bidi="fa-IR"/>
        </w:rPr>
        <w:footnoteReference w:id="2"/>
      </w:r>
    </w:p>
    <w:p w14:paraId="369A1A0C" w14:textId="77777777" w:rsidR="0021414D" w:rsidRDefault="0021414D" w:rsidP="0021414D">
      <w:pPr>
        <w:widowControl w:val="0"/>
        <w:bidi/>
        <w:spacing w:after="0" w:line="262" w:lineRule="auto"/>
        <w:ind w:firstLine="284"/>
        <w:jc w:val="both"/>
        <w:rPr>
          <w:rFonts w:ascii="Noor_Nazli" w:eastAsia="Times New Roman" w:hAnsi="Noor_Nazli" w:cs="Abz-2 (Badr)"/>
          <w:color w:val="000000" w:themeColor="text1"/>
          <w:sz w:val="28"/>
          <w:szCs w:val="28"/>
          <w:rtl/>
          <w:lang w:bidi="fa-IR"/>
        </w:rPr>
      </w:pPr>
      <w:r>
        <w:rPr>
          <w:rFonts w:cs="Abz-2 (Badr)" w:hint="cs"/>
          <w:color w:val="000000" w:themeColor="text1"/>
          <w:sz w:val="28"/>
          <w:szCs w:val="28"/>
          <w:rtl/>
          <w:lang w:bidi="fa-IR"/>
        </w:rPr>
        <w:t>وقال السيّد الإمام الخميني: «</w:t>
      </w:r>
      <w:r w:rsidRPr="00115CC4">
        <w:rPr>
          <w:rFonts w:cs="Abz-2 (Badr)"/>
          <w:color w:val="000000" w:themeColor="text1"/>
          <w:sz w:val="28"/>
          <w:szCs w:val="28"/>
          <w:rtl/>
          <w:lang w:bidi="fa-IR"/>
        </w:rPr>
        <w:t>هي قاعدة مسلّمة لها دليل مستقلّ‌ بعنوانها، ولا يكون مستندها قاعدة الإتلاف ولا قاعدة الضرر</w:t>
      </w:r>
      <w:r>
        <w:rPr>
          <w:rFonts w:cs="Abz-2 (Badr)" w:hint="cs"/>
          <w:color w:val="000000" w:themeColor="text1"/>
          <w:sz w:val="28"/>
          <w:szCs w:val="28"/>
          <w:rtl/>
          <w:lang w:bidi="fa-IR"/>
        </w:rPr>
        <w:t>، ب</w:t>
      </w:r>
      <w:r w:rsidRPr="00115CC4">
        <w:rPr>
          <w:rFonts w:ascii="Noor_Nazli" w:eastAsia="Times New Roman" w:hAnsi="Noor_Nazli" w:cs="Abz-2 (Badr)"/>
          <w:color w:val="000000" w:themeColor="text1"/>
          <w:sz w:val="28"/>
          <w:szCs w:val="28"/>
          <w:rtl/>
          <w:lang w:bidi="fa-IR"/>
        </w:rPr>
        <w:t>ل لا يمكن أن يكون المستند ذلك؛ لأنّ‌ عنوان «الغرور» منطبق على حيثي</w:t>
      </w:r>
      <w:r>
        <w:rPr>
          <w:rFonts w:ascii="Noor_Nazli" w:eastAsia="Times New Roman" w:hAnsi="Noor_Nazli" w:cs="Abz-2 (Badr)" w:hint="cs"/>
          <w:color w:val="000000" w:themeColor="text1"/>
          <w:sz w:val="28"/>
          <w:szCs w:val="28"/>
          <w:rtl/>
          <w:lang w:bidi="fa-IR"/>
        </w:rPr>
        <w:t>ّ</w:t>
      </w:r>
      <w:r w:rsidRPr="00115CC4">
        <w:rPr>
          <w:rFonts w:ascii="Noor_Nazli" w:eastAsia="Times New Roman" w:hAnsi="Noor_Nazli" w:cs="Abz-2 (Badr)"/>
          <w:color w:val="000000" w:themeColor="text1"/>
          <w:sz w:val="28"/>
          <w:szCs w:val="28"/>
          <w:rtl/>
          <w:lang w:bidi="fa-IR"/>
        </w:rPr>
        <w:t>ة تباين حيثي</w:t>
      </w:r>
      <w:r>
        <w:rPr>
          <w:rFonts w:ascii="Noor_Nazli" w:eastAsia="Times New Roman" w:hAnsi="Noor_Nazli" w:cs="Abz-2 (Badr)" w:hint="cs"/>
          <w:color w:val="000000" w:themeColor="text1"/>
          <w:sz w:val="28"/>
          <w:szCs w:val="28"/>
          <w:rtl/>
          <w:lang w:bidi="fa-IR"/>
        </w:rPr>
        <w:t>ّ</w:t>
      </w:r>
      <w:r w:rsidRPr="00115CC4">
        <w:rPr>
          <w:rFonts w:ascii="Noor_Nazli" w:eastAsia="Times New Roman" w:hAnsi="Noor_Nazli" w:cs="Abz-2 (Badr)"/>
          <w:color w:val="000000" w:themeColor="text1"/>
          <w:sz w:val="28"/>
          <w:szCs w:val="28"/>
          <w:rtl/>
          <w:lang w:bidi="fa-IR"/>
        </w:rPr>
        <w:t>ة الإتلاف والإضرار، ضرورة أنّه صادق في المقام على بيع مال الغير خدعة وتدليساً، فالعنوان صادق قبل الإتلاف والضرر رتبة‌ بل وزماناً، وقاعدتا الإتلاف والضرر لا تنطبقان إلا</w:t>
      </w:r>
      <w:r>
        <w:rPr>
          <w:rFonts w:ascii="Noor_Nazli" w:eastAsia="Times New Roman" w:hAnsi="Noor_Nazli" w:cs="Abz-2 (Badr)" w:hint="cs"/>
          <w:color w:val="000000" w:themeColor="text1"/>
          <w:sz w:val="28"/>
          <w:szCs w:val="28"/>
          <w:rtl/>
          <w:lang w:bidi="fa-IR"/>
        </w:rPr>
        <w:t xml:space="preserve"> </w:t>
      </w:r>
      <w:r w:rsidRPr="00115CC4">
        <w:rPr>
          <w:rFonts w:ascii="Noor_Nazli" w:eastAsia="Times New Roman" w:hAnsi="Noor_Nazli" w:cs="Abz-2 (Badr)"/>
          <w:color w:val="000000" w:themeColor="text1"/>
          <w:sz w:val="28"/>
          <w:szCs w:val="28"/>
          <w:rtl/>
          <w:lang w:bidi="fa-IR"/>
        </w:rPr>
        <w:t>بعد الإتلاف والضرر</w:t>
      </w:r>
      <w:r>
        <w:rPr>
          <w:rFonts w:ascii="Noor_Nazli" w:eastAsia="Times New Roman" w:hAnsi="Noor_Nazli" w:cs="Abz-2 (Badr)" w:hint="cs"/>
          <w:color w:val="000000" w:themeColor="text1"/>
          <w:sz w:val="28"/>
          <w:szCs w:val="28"/>
          <w:rtl/>
          <w:lang w:bidi="fa-IR"/>
        </w:rPr>
        <w:t xml:space="preserve">؛ </w:t>
      </w:r>
      <w:r w:rsidRPr="00115CC4">
        <w:rPr>
          <w:rFonts w:ascii="Noor_Nazli" w:eastAsia="Times New Roman" w:hAnsi="Noor_Nazli" w:cs="Abz-2 (Badr)"/>
          <w:color w:val="000000" w:themeColor="text1"/>
          <w:sz w:val="28"/>
          <w:szCs w:val="28"/>
          <w:rtl/>
          <w:lang w:bidi="fa-IR"/>
        </w:rPr>
        <w:t>فالعنوانان متباينان، ولا يعقل كون دليل قاعدة ما دلّ‌ على قاعدة مباينة لها.</w:t>
      </w:r>
    </w:p>
    <w:p w14:paraId="50E60D68" w14:textId="77777777" w:rsidR="0021414D" w:rsidRPr="00115CC4" w:rsidRDefault="0021414D" w:rsidP="0021414D">
      <w:pPr>
        <w:widowControl w:val="0"/>
        <w:bidi/>
        <w:spacing w:after="0" w:line="262" w:lineRule="auto"/>
        <w:ind w:firstLine="284"/>
        <w:jc w:val="both"/>
        <w:rPr>
          <w:rFonts w:ascii="Noor_Nazli" w:eastAsia="Times New Roman" w:hAnsi="Noor_Nazli" w:cs="Abz-2 (Badr)"/>
          <w:color w:val="000000" w:themeColor="text1"/>
          <w:sz w:val="28"/>
          <w:szCs w:val="28"/>
          <w:rtl/>
          <w:lang w:bidi="fa-IR"/>
        </w:rPr>
      </w:pPr>
      <w:r w:rsidRPr="00115CC4">
        <w:rPr>
          <w:rFonts w:ascii="Noor_Nazli" w:eastAsia="Times New Roman" w:hAnsi="Noor_Nazli" w:cs="Abz-2 (Badr)"/>
          <w:color w:val="000000" w:themeColor="text1"/>
          <w:sz w:val="28"/>
          <w:szCs w:val="28"/>
          <w:rtl/>
          <w:lang w:bidi="fa-IR"/>
        </w:rPr>
        <w:t>ولو سومح فلا أقلّ‌ من كونهما معها من قبيل العامّين من وجه، وفي مثله أيضاً لا يمكن أن يكون الدليل على قاعدة الغرور ما هو نسبته إليهما كذلك، فلابدّ إمّا من إنكار قاعدة الغرور أو إثباتها بغير دليل الإتلاف والإضرار.</w:t>
      </w:r>
    </w:p>
    <w:p w14:paraId="249D40D3" w14:textId="77777777" w:rsidR="0021414D" w:rsidRPr="00115CC4" w:rsidRDefault="0021414D" w:rsidP="0021414D">
      <w:pPr>
        <w:widowControl w:val="0"/>
        <w:bidi/>
        <w:spacing w:after="0" w:line="262" w:lineRule="auto"/>
        <w:ind w:firstLine="284"/>
        <w:jc w:val="both"/>
        <w:rPr>
          <w:rFonts w:cs="Abz-2 (Badr)"/>
          <w:color w:val="000000" w:themeColor="text1"/>
          <w:sz w:val="28"/>
          <w:szCs w:val="28"/>
          <w:rtl/>
          <w:lang w:bidi="fa-IR"/>
        </w:rPr>
      </w:pPr>
      <w:r w:rsidRPr="00115CC4">
        <w:rPr>
          <w:rFonts w:cs="Abz-2 (Badr)"/>
          <w:color w:val="000000" w:themeColor="text1"/>
          <w:sz w:val="28"/>
          <w:szCs w:val="28"/>
          <w:rtl/>
          <w:lang w:bidi="fa-IR"/>
        </w:rPr>
        <w:t>والتحقيق أنّها قاعدة برأسها وعنوانها، لا لما نسب إلى النبي</w:t>
      </w:r>
      <w:r>
        <w:rPr>
          <w:rFonts w:cs="Abz-2 (Badr)" w:hint="cs"/>
          <w:color w:val="000000" w:themeColor="text1"/>
          <w:sz w:val="28"/>
          <w:szCs w:val="28"/>
          <w:rtl/>
          <w:lang w:bidi="fa-IR"/>
        </w:rPr>
        <w:t>(ص)</w:t>
      </w:r>
      <w:r w:rsidRPr="00115CC4">
        <w:rPr>
          <w:rFonts w:cs="Abz-2 (Badr)"/>
          <w:color w:val="000000" w:themeColor="text1"/>
          <w:sz w:val="28"/>
          <w:szCs w:val="28"/>
          <w:rtl/>
          <w:lang w:bidi="fa-IR"/>
        </w:rPr>
        <w:t xml:space="preserve"> «المغرور يرجع إلى‌ من غرّه»</w:t>
      </w:r>
      <w:r>
        <w:rPr>
          <w:rFonts w:cs="Abz-2 (Badr)" w:hint="cs"/>
          <w:color w:val="000000" w:themeColor="text1"/>
          <w:sz w:val="28"/>
          <w:szCs w:val="28"/>
          <w:rtl/>
          <w:lang w:bidi="fa-IR"/>
        </w:rPr>
        <w:t>،</w:t>
      </w:r>
      <w:r w:rsidRPr="00115CC4">
        <w:rPr>
          <w:rFonts w:cs="Abz-2 (Badr)"/>
          <w:color w:val="000000" w:themeColor="text1"/>
          <w:sz w:val="28"/>
          <w:szCs w:val="28"/>
          <w:rtl/>
          <w:lang w:bidi="fa-IR"/>
        </w:rPr>
        <w:t xml:space="preserve"> لعدم ثبوت استناد الأصحاب في الحكم إليه وقرب احتمال استنادهم إلى الروايات الآتية.</w:t>
      </w:r>
      <w:r>
        <w:rPr>
          <w:rFonts w:cs="Abz-2 (Badr)" w:hint="cs"/>
          <w:color w:val="000000" w:themeColor="text1"/>
          <w:sz w:val="28"/>
          <w:szCs w:val="28"/>
          <w:rtl/>
          <w:lang w:bidi="fa-IR"/>
        </w:rPr>
        <w:t xml:space="preserve">.. </w:t>
      </w:r>
      <w:r w:rsidRPr="00115CC4">
        <w:rPr>
          <w:rFonts w:cs="Abz-2 (Badr)"/>
          <w:color w:val="000000" w:themeColor="text1"/>
          <w:sz w:val="28"/>
          <w:szCs w:val="28"/>
          <w:rtl/>
          <w:lang w:bidi="fa-IR"/>
        </w:rPr>
        <w:t>كرواية إسماعيل بن جابر التي هي صحيحة أو كالصحيحة</w:t>
      </w:r>
      <w:r>
        <w:rPr>
          <w:rFonts w:cs="Abz-2 (Badr)" w:hint="cs"/>
          <w:color w:val="000000" w:themeColor="text1"/>
          <w:sz w:val="28"/>
          <w:szCs w:val="28"/>
          <w:rtl/>
          <w:lang w:bidi="fa-IR"/>
        </w:rPr>
        <w:t xml:space="preserve"> ـ</w:t>
      </w:r>
      <w:r w:rsidRPr="00115CC4">
        <w:rPr>
          <w:rFonts w:cs="Abz-2 (Badr)"/>
          <w:color w:val="000000" w:themeColor="text1"/>
          <w:sz w:val="28"/>
          <w:szCs w:val="28"/>
          <w:rtl/>
          <w:lang w:bidi="fa-IR"/>
        </w:rPr>
        <w:t xml:space="preserve"> إذ ليس في سندها إلا</w:t>
      </w:r>
      <w:r>
        <w:rPr>
          <w:rFonts w:cs="Abz-2 (Badr)" w:hint="cs"/>
          <w:color w:val="000000" w:themeColor="text1"/>
          <w:sz w:val="28"/>
          <w:szCs w:val="28"/>
          <w:rtl/>
          <w:lang w:bidi="fa-IR"/>
        </w:rPr>
        <w:t xml:space="preserve"> </w:t>
      </w:r>
      <w:r w:rsidRPr="00115CC4">
        <w:rPr>
          <w:rFonts w:cs="Abz-2 (Badr)"/>
          <w:color w:val="000000" w:themeColor="text1"/>
          <w:sz w:val="28"/>
          <w:szCs w:val="28"/>
          <w:rtl/>
          <w:lang w:bidi="fa-IR"/>
        </w:rPr>
        <w:t xml:space="preserve">محمّد بن سنان وهو ثقة على الأصحّ‌ </w:t>
      </w:r>
      <w:r>
        <w:rPr>
          <w:rFonts w:cs="Abz-2 (Badr)" w:hint="cs"/>
          <w:color w:val="000000" w:themeColor="text1"/>
          <w:sz w:val="28"/>
          <w:szCs w:val="28"/>
          <w:rtl/>
          <w:lang w:bidi="fa-IR"/>
        </w:rPr>
        <w:t>ـ</w:t>
      </w:r>
      <w:r w:rsidRPr="00115CC4">
        <w:rPr>
          <w:rFonts w:cs="Abz-2 (Badr)"/>
          <w:color w:val="000000" w:themeColor="text1"/>
          <w:sz w:val="28"/>
          <w:szCs w:val="28"/>
          <w:rtl/>
          <w:lang w:bidi="fa-IR"/>
        </w:rPr>
        <w:t xml:space="preserve"> قال: سألت أبا عبدالله</w:t>
      </w:r>
      <w:r>
        <w:rPr>
          <w:rFonts w:cs="Abz-2 (Badr)" w:hint="cs"/>
          <w:color w:val="000000" w:themeColor="text1"/>
          <w:sz w:val="28"/>
          <w:szCs w:val="28"/>
          <w:rtl/>
          <w:lang w:bidi="fa-IR"/>
        </w:rPr>
        <w:t>(ع)...</w:t>
      </w:r>
      <w:r w:rsidRPr="00115CC4">
        <w:rPr>
          <w:rFonts w:cs="Abz-2 (Badr)"/>
          <w:color w:val="000000" w:themeColor="text1"/>
          <w:sz w:val="28"/>
          <w:szCs w:val="28"/>
          <w:rtl/>
          <w:lang w:bidi="fa-IR"/>
        </w:rPr>
        <w:t xml:space="preserve"> قال:</w:t>
      </w:r>
      <w:r>
        <w:rPr>
          <w:rFonts w:cs="Abz-2 (Badr)" w:hint="cs"/>
          <w:color w:val="000000" w:themeColor="text1"/>
          <w:sz w:val="28"/>
          <w:szCs w:val="28"/>
          <w:rtl/>
          <w:lang w:bidi="fa-IR"/>
        </w:rPr>
        <w:t xml:space="preserve"> ...</w:t>
      </w:r>
      <w:r w:rsidRPr="00115CC4">
        <w:rPr>
          <w:rFonts w:cs="Abz-2 (Badr)"/>
          <w:color w:val="000000" w:themeColor="text1"/>
          <w:sz w:val="28"/>
          <w:szCs w:val="28"/>
          <w:rtl/>
          <w:lang w:bidi="fa-IR"/>
        </w:rPr>
        <w:t>على الذي زوّجه قيمة ثمن الولد، يعطيه موالي الوليدة كما غرّ الرجل وخدعه».</w:t>
      </w:r>
    </w:p>
    <w:p w14:paraId="3FCCA3A9" w14:textId="77777777" w:rsidR="0021414D" w:rsidRDefault="0021414D" w:rsidP="0021414D">
      <w:pPr>
        <w:widowControl w:val="0"/>
        <w:bidi/>
        <w:spacing w:after="0" w:line="262" w:lineRule="auto"/>
        <w:ind w:firstLine="284"/>
        <w:jc w:val="both"/>
        <w:rPr>
          <w:rFonts w:cs="Abz-2 (Badr)"/>
          <w:color w:val="000000" w:themeColor="text1"/>
          <w:sz w:val="28"/>
          <w:szCs w:val="28"/>
          <w:rtl/>
          <w:lang w:bidi="fa-IR"/>
        </w:rPr>
      </w:pPr>
      <w:r w:rsidRPr="00115CC4">
        <w:rPr>
          <w:rFonts w:cs="Abz-2 (Badr)"/>
          <w:color w:val="000000" w:themeColor="text1"/>
          <w:sz w:val="28"/>
          <w:szCs w:val="28"/>
          <w:rtl/>
          <w:lang w:bidi="fa-IR"/>
        </w:rPr>
        <w:t>ولا يخفى: أنّ‌ المتفاهم عرفاً أنّ‌ غرور الرجل وخدعته علّة للرجوع، فيفهم منه أنّ‌ المغرور يرجع إلى من غرّه وخدعه، وتستفاد منه قاعدة كلّية سارية.</w:t>
      </w:r>
    </w:p>
    <w:p w14:paraId="59DFD06A" w14:textId="25900E16" w:rsidR="0021414D" w:rsidRDefault="0021414D" w:rsidP="00F5720C">
      <w:pPr>
        <w:widowControl w:val="0"/>
        <w:bidi/>
        <w:spacing w:after="0" w:line="262" w:lineRule="auto"/>
        <w:ind w:firstLine="284"/>
        <w:jc w:val="both"/>
        <w:rPr>
          <w:rFonts w:cs="Abz-2 (Badr)"/>
          <w:color w:val="000000" w:themeColor="text1"/>
          <w:sz w:val="28"/>
          <w:szCs w:val="28"/>
          <w:rtl/>
          <w:lang w:bidi="fa-IR"/>
        </w:rPr>
      </w:pPr>
      <w:r w:rsidRPr="00EB63F6">
        <w:rPr>
          <w:rFonts w:cs="Abz-2 (Badr)"/>
          <w:color w:val="000000" w:themeColor="text1"/>
          <w:spacing w:val="-4"/>
          <w:sz w:val="28"/>
          <w:szCs w:val="28"/>
          <w:rtl/>
          <w:lang w:bidi="fa-IR"/>
        </w:rPr>
        <w:t>والظاهر من أخذ العنوان هو موضوعي</w:t>
      </w:r>
      <w:r w:rsidRPr="0021414D">
        <w:rPr>
          <w:rFonts w:cs="Abz-2 (Badr)" w:hint="cs"/>
          <w:color w:val="000000" w:themeColor="text1"/>
          <w:spacing w:val="-4"/>
          <w:sz w:val="28"/>
          <w:szCs w:val="28"/>
          <w:rtl/>
          <w:lang w:bidi="fa-IR"/>
        </w:rPr>
        <w:t>ّ</w:t>
      </w:r>
      <w:r w:rsidRPr="00EB63F6">
        <w:rPr>
          <w:rFonts w:cs="Abz-2 (Badr)"/>
          <w:color w:val="000000" w:themeColor="text1"/>
          <w:spacing w:val="-4"/>
          <w:sz w:val="28"/>
          <w:szCs w:val="28"/>
          <w:rtl/>
          <w:lang w:bidi="fa-IR"/>
        </w:rPr>
        <w:t>ته، فالغرور موجب للرجوع في الخسارات، سواء</w:t>
      </w:r>
      <w:r w:rsidRPr="0021414D">
        <w:rPr>
          <w:rFonts w:cs="Abz-2 (Badr)" w:hint="cs"/>
          <w:color w:val="000000" w:themeColor="text1"/>
          <w:spacing w:val="-4"/>
          <w:sz w:val="28"/>
          <w:szCs w:val="28"/>
          <w:rtl/>
          <w:lang w:bidi="fa-IR"/>
        </w:rPr>
        <w:t>ً</w:t>
      </w:r>
      <w:r w:rsidRPr="00EB63F6">
        <w:rPr>
          <w:rFonts w:cs="Abz-2 (Badr)"/>
          <w:color w:val="000000" w:themeColor="text1"/>
          <w:spacing w:val="-4"/>
          <w:sz w:val="28"/>
          <w:szCs w:val="28"/>
          <w:rtl/>
          <w:lang w:bidi="fa-IR"/>
        </w:rPr>
        <w:t xml:space="preserve"> كان إتلافاً أو لا، وضرراً أو لا.</w:t>
      </w:r>
      <w:r>
        <w:rPr>
          <w:rFonts w:cs="Abz-2 (Badr)" w:hint="cs"/>
          <w:color w:val="000000" w:themeColor="text1"/>
          <w:sz w:val="28"/>
          <w:szCs w:val="28"/>
          <w:rtl/>
          <w:lang w:bidi="fa-IR"/>
        </w:rPr>
        <w:t>»</w:t>
      </w:r>
      <w:r w:rsidRPr="00655B6C">
        <w:rPr>
          <w:rFonts w:cs="Abz-2 (Badr)"/>
          <w:color w:val="000000" w:themeColor="text1"/>
          <w:sz w:val="28"/>
          <w:szCs w:val="28"/>
          <w:vertAlign w:val="superscript"/>
          <w:rtl/>
          <w:lang w:bidi="fa-IR"/>
        </w:rPr>
        <w:footnoteReference w:id="3"/>
      </w:r>
    </w:p>
    <w:p w14:paraId="6520A7B2" w14:textId="5583EDDF" w:rsidR="00DC37E2" w:rsidRPr="00B34F0E" w:rsidRDefault="00DC37E2" w:rsidP="00D20C84">
      <w:pPr>
        <w:widowControl w:val="0"/>
        <w:bidi/>
        <w:spacing w:after="0" w:line="262" w:lineRule="auto"/>
        <w:ind w:firstLine="284"/>
        <w:jc w:val="both"/>
        <w:rPr>
          <w:rFonts w:ascii="Noor_Nazli" w:eastAsia="Times New Roman" w:hAnsi="Noor_Nazli" w:cs="Times New Roman"/>
          <w:sz w:val="36"/>
          <w:szCs w:val="36"/>
          <w:rtl/>
          <w:lang w:bidi="fa-IR"/>
        </w:rPr>
      </w:pPr>
    </w:p>
    <w:bookmarkEnd w:id="0"/>
    <w:sectPr w:rsidR="00DC37E2" w:rsidRPr="00B34F0E">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2B9417BB" w14:textId="77777777" w:rsidR="00D20C84" w:rsidRPr="00655B6C" w:rsidRDefault="00D20C84" w:rsidP="00D20C84">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مکاسب،ج3،ص498 - 501</w:t>
      </w:r>
      <w:r w:rsidRPr="00655B6C">
        <w:rPr>
          <w:rFonts w:cs="Abz-2 (Badr)" w:hint="cs"/>
          <w:sz w:val="22"/>
          <w:szCs w:val="22"/>
          <w:rtl/>
        </w:rPr>
        <w:t>.</w:t>
      </w:r>
    </w:p>
  </w:footnote>
  <w:footnote w:id="2">
    <w:p w14:paraId="3A1F61F0" w14:textId="77777777" w:rsidR="0021414D" w:rsidRPr="00655B6C" w:rsidRDefault="0021414D" w:rsidP="0021414D">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موسوعة الإمام الخوئي،ج37،ص92</w:t>
      </w:r>
      <w:r w:rsidRPr="00655B6C">
        <w:rPr>
          <w:rFonts w:cs="Abz-2 (Badr)" w:hint="cs"/>
          <w:sz w:val="22"/>
          <w:szCs w:val="22"/>
          <w:rtl/>
        </w:rPr>
        <w:t>.</w:t>
      </w:r>
    </w:p>
  </w:footnote>
  <w:footnote w:id="3">
    <w:p w14:paraId="60FD032A" w14:textId="3012094A" w:rsidR="0021414D" w:rsidRPr="00655B6C" w:rsidRDefault="0021414D" w:rsidP="0021414D">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 xml:space="preserve">کتاب البيع،ج2،ص477 </w:t>
      </w:r>
      <w:r w:rsidR="00F5720C">
        <w:rPr>
          <w:rFonts w:cs="Abz-2 (Badr)" w:hint="cs"/>
          <w:sz w:val="22"/>
          <w:szCs w:val="22"/>
          <w:rtl/>
        </w:rPr>
        <w:t>و 478</w:t>
      </w:r>
      <w:r w:rsidRPr="00655B6C">
        <w:rPr>
          <w:rFonts w:cs="Abz-2 (Badr)" w:hint="cs"/>
          <w:sz w:val="22"/>
          <w:szCs w:val="22"/>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77BF"/>
    <w:rsid w:val="0007062A"/>
    <w:rsid w:val="00084447"/>
    <w:rsid w:val="000879BF"/>
    <w:rsid w:val="0009649A"/>
    <w:rsid w:val="000B64A7"/>
    <w:rsid w:val="000E1CDA"/>
    <w:rsid w:val="000F2E50"/>
    <w:rsid w:val="00101B80"/>
    <w:rsid w:val="001050A2"/>
    <w:rsid w:val="001420FB"/>
    <w:rsid w:val="00145844"/>
    <w:rsid w:val="00150806"/>
    <w:rsid w:val="001922E4"/>
    <w:rsid w:val="001D1305"/>
    <w:rsid w:val="001D4A4D"/>
    <w:rsid w:val="0021414D"/>
    <w:rsid w:val="0029688A"/>
    <w:rsid w:val="002A09CF"/>
    <w:rsid w:val="002C7D85"/>
    <w:rsid w:val="002D27AB"/>
    <w:rsid w:val="002E0246"/>
    <w:rsid w:val="00331A5F"/>
    <w:rsid w:val="00335969"/>
    <w:rsid w:val="003361EF"/>
    <w:rsid w:val="003A1222"/>
    <w:rsid w:val="003A199D"/>
    <w:rsid w:val="00487869"/>
    <w:rsid w:val="00521235"/>
    <w:rsid w:val="005327C7"/>
    <w:rsid w:val="005532E0"/>
    <w:rsid w:val="005751F1"/>
    <w:rsid w:val="005B6905"/>
    <w:rsid w:val="0060689C"/>
    <w:rsid w:val="00621F9A"/>
    <w:rsid w:val="00625979"/>
    <w:rsid w:val="006B2F35"/>
    <w:rsid w:val="006C580F"/>
    <w:rsid w:val="0070259D"/>
    <w:rsid w:val="00703021"/>
    <w:rsid w:val="00706DD2"/>
    <w:rsid w:val="007374CF"/>
    <w:rsid w:val="00750FB1"/>
    <w:rsid w:val="008869B4"/>
    <w:rsid w:val="008C3DDD"/>
    <w:rsid w:val="008F3842"/>
    <w:rsid w:val="00901208"/>
    <w:rsid w:val="009251BE"/>
    <w:rsid w:val="00940DC9"/>
    <w:rsid w:val="009A3CA7"/>
    <w:rsid w:val="009C1C9D"/>
    <w:rsid w:val="009D42F6"/>
    <w:rsid w:val="00A17467"/>
    <w:rsid w:val="00A62A68"/>
    <w:rsid w:val="00A75FB0"/>
    <w:rsid w:val="00A96A24"/>
    <w:rsid w:val="00AB148E"/>
    <w:rsid w:val="00BB28BF"/>
    <w:rsid w:val="00BD6EF3"/>
    <w:rsid w:val="00C004FA"/>
    <w:rsid w:val="00C01832"/>
    <w:rsid w:val="00C8378C"/>
    <w:rsid w:val="00C9359C"/>
    <w:rsid w:val="00C9572F"/>
    <w:rsid w:val="00CA0BC4"/>
    <w:rsid w:val="00CD52E6"/>
    <w:rsid w:val="00D20C84"/>
    <w:rsid w:val="00D22A70"/>
    <w:rsid w:val="00D663C8"/>
    <w:rsid w:val="00D81BE3"/>
    <w:rsid w:val="00D97411"/>
    <w:rsid w:val="00DC37E2"/>
    <w:rsid w:val="00E214D7"/>
    <w:rsid w:val="00E2487C"/>
    <w:rsid w:val="00E55342"/>
    <w:rsid w:val="00E6533A"/>
    <w:rsid w:val="00E749D3"/>
    <w:rsid w:val="00E77A81"/>
    <w:rsid w:val="00ED7F5C"/>
    <w:rsid w:val="00EE25C0"/>
    <w:rsid w:val="00F46AE2"/>
    <w:rsid w:val="00F46E3E"/>
    <w:rsid w:val="00F5720C"/>
    <w:rsid w:val="00F71127"/>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11</cp:revision>
  <cp:lastPrinted>2022-10-17T08:38:00Z</cp:lastPrinted>
  <dcterms:created xsi:type="dcterms:W3CDTF">2022-10-16T08:36:00Z</dcterms:created>
  <dcterms:modified xsi:type="dcterms:W3CDTF">2022-10-19T06:40:00Z</dcterms:modified>
</cp:coreProperties>
</file>