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1DAF426"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D81BE3">
        <w:rPr>
          <w:rFonts w:cs="B Mitra" w:hint="cs"/>
          <w:b/>
          <w:bCs/>
          <w:sz w:val="32"/>
          <w:szCs w:val="32"/>
          <w:rtl/>
          <w:lang w:bidi="fa-IR"/>
        </w:rPr>
        <w:t>7</w:t>
      </w:r>
    </w:p>
    <w:p w14:paraId="469B3764" w14:textId="223FBBE2" w:rsidR="00C9359C" w:rsidRDefault="00C9359C" w:rsidP="00D81BE3">
      <w:pPr>
        <w:widowControl w:val="0"/>
        <w:bidi/>
        <w:spacing w:after="0" w:line="262" w:lineRule="auto"/>
        <w:ind w:firstLine="284"/>
        <w:jc w:val="both"/>
        <w:rPr>
          <w:rFonts w:cs="Abz-2 (Badr)"/>
          <w:color w:val="000000" w:themeColor="text1"/>
          <w:sz w:val="28"/>
          <w:szCs w:val="28"/>
          <w:rtl/>
          <w:lang w:bidi="fa-IR"/>
        </w:rPr>
      </w:pPr>
      <w:bookmarkStart w:id="0" w:name="_Hlk116244902"/>
      <w:r>
        <w:rPr>
          <w:rFonts w:cs="Abz-2 (Badr)" w:hint="cs"/>
          <w:color w:val="000000" w:themeColor="text1"/>
          <w:sz w:val="28"/>
          <w:szCs w:val="28"/>
          <w:rtl/>
          <w:lang w:bidi="fa-IR"/>
        </w:rPr>
        <w:t>در جلسه قبل گفتيم که دليل عدم استحقاق زوجه برای مهر در صورت فسخ زوج قبل از دخول، روايات است.</w:t>
      </w:r>
    </w:p>
    <w:p w14:paraId="42C57555" w14:textId="5BCF9BDC" w:rsidR="00D81BE3" w:rsidRDefault="00D81BE3" w:rsidP="00C9359C">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منها: </w:t>
      </w:r>
      <w:r w:rsidRPr="00F9408D">
        <w:rPr>
          <w:rFonts w:cs="Abz-2 (Badr)" w:hint="cs"/>
          <w:color w:val="000000" w:themeColor="text1"/>
          <w:sz w:val="28"/>
          <w:szCs w:val="28"/>
          <w:rtl/>
          <w:lang w:bidi="fa-IR"/>
        </w:rPr>
        <w:t xml:space="preserve">صحيحة أبي عبيدة عن أبي جعفر(ع)، قال: </w:t>
      </w:r>
      <w:r w:rsidRPr="00F9408D">
        <w:rPr>
          <w:rFonts w:cs="Abz-2 (Badr)"/>
          <w:color w:val="000000" w:themeColor="text1"/>
          <w:sz w:val="28"/>
          <w:szCs w:val="28"/>
          <w:rtl/>
          <w:lang w:bidi="fa-IR"/>
        </w:rPr>
        <w:t>«في رجل تزوّج امرأة من</w:t>
      </w:r>
      <w:r>
        <w:rPr>
          <w:rFonts w:cs="Abz-2 (Badr)" w:hint="cs"/>
          <w:color w:val="000000" w:themeColor="text1"/>
          <w:sz w:val="28"/>
          <w:szCs w:val="28"/>
          <w:rtl/>
          <w:lang w:bidi="fa-IR"/>
        </w:rPr>
        <w:t xml:space="preserve"> </w:t>
      </w:r>
      <w:r w:rsidRPr="00F9408D">
        <w:rPr>
          <w:rFonts w:cs="Abz-2 (Badr)" w:hint="cs"/>
          <w:color w:val="000000" w:themeColor="text1"/>
          <w:sz w:val="28"/>
          <w:szCs w:val="28"/>
          <w:rtl/>
          <w:lang w:bidi="fa-IR"/>
        </w:rPr>
        <w:t>وليّها فوجد بها عيباً بعدما دخل بها، قال: فقال: إذا دُلّست</w:t>
      </w:r>
      <w:r w:rsidRPr="00F9408D">
        <w:rPr>
          <w:rFonts w:cs="Abz-2 (Badr)"/>
          <w:color w:val="000000" w:themeColor="text1"/>
          <w:sz w:val="28"/>
          <w:szCs w:val="28"/>
          <w:rtl/>
          <w:lang w:bidi="fa-IR"/>
        </w:rPr>
        <w:t xml:space="preserve"> العفلاء والبرصاء والمجنونة والمفضاة ومن كان بها زَمانة ظاهرة، فإنّها تردّ على أهلها من غير طلاق... قال: وتعتدّ منه عدّة المطلّقة إن كان دخل بها، وإن لم يكن دخل بها فلا عدّة لها ولا مهر لها.»</w:t>
      </w:r>
      <w:r w:rsidRPr="002D27AB">
        <w:rPr>
          <w:rStyle w:val="FootnoteReference"/>
          <w:rFonts w:cs="Abz-2 (Badr)"/>
          <w:sz w:val="28"/>
          <w:szCs w:val="28"/>
          <w:rtl/>
          <w:lang w:bidi="fa-IR"/>
        </w:rPr>
        <w:footnoteReference w:id="1"/>
      </w:r>
    </w:p>
    <w:p w14:paraId="2C33098F"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دلالت اين صحيحه بر فسخ به واسطه تدليس و عدم استحقاق مهر در صورت وقوع فسخ قبل از دخول آشکار است.</w:t>
      </w:r>
    </w:p>
    <w:p w14:paraId="3D0277F5"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ومنها: </w:t>
      </w:r>
      <w:r w:rsidRPr="00F9408D">
        <w:rPr>
          <w:rFonts w:cs="Abz-2 (Badr)" w:hint="cs"/>
          <w:color w:val="000000" w:themeColor="text1"/>
          <w:sz w:val="28"/>
          <w:szCs w:val="28"/>
          <w:rtl/>
          <w:lang w:bidi="fa-IR"/>
        </w:rPr>
        <w:t xml:space="preserve">موثّقة غياث بن إبراهيم عن جعفر عن أبيه عن عليّ(ع): </w:t>
      </w:r>
      <w:r w:rsidRPr="00F9408D">
        <w:rPr>
          <w:rFonts w:cs="Abz-2 (Badr)"/>
          <w:color w:val="000000" w:themeColor="text1"/>
          <w:sz w:val="28"/>
          <w:szCs w:val="28"/>
          <w:rtl/>
          <w:lang w:bidi="fa-IR"/>
        </w:rPr>
        <w:t>«في رجل تزوّج امرأة فوجدها برصاء أو جذماء، قال: إن كان لم يدخل بها ولم يبيّن له، فإن شاء طلّق وإن شاء أمسك ولا صداق لها.»</w:t>
      </w:r>
      <w:r w:rsidRPr="002D27AB">
        <w:rPr>
          <w:rStyle w:val="FootnoteReference"/>
          <w:rFonts w:cs="Abz-2 (Badr)"/>
          <w:sz w:val="28"/>
          <w:szCs w:val="28"/>
          <w:rtl/>
          <w:lang w:bidi="fa-IR"/>
        </w:rPr>
        <w:footnoteReference w:id="2"/>
      </w:r>
    </w:p>
    <w:p w14:paraId="22C0D702" w14:textId="77777777" w:rsidR="00D81BE3" w:rsidRPr="00F9408D" w:rsidRDefault="00D81BE3" w:rsidP="00D81BE3">
      <w:pPr>
        <w:widowControl w:val="0"/>
        <w:bidi/>
        <w:spacing w:after="0" w:line="26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دلالت اين موثقه بر مدعای مذکور نيز مبتنی بر مطلبی است که سابقاً گذشت مبنی بر اين که دلالت اخباری که در خصوص فسخ با عيوبی مثل برص و جذام وارد شده</w:t>
      </w:r>
      <w:r>
        <w:rPr>
          <w:rFonts w:cs="Abz-2 (Badr)"/>
          <w:color w:val="000000" w:themeColor="text1"/>
          <w:sz w:val="28"/>
          <w:szCs w:val="28"/>
          <w:rtl/>
          <w:lang w:bidi="fa-IR"/>
        </w:rPr>
        <w:softHyphen/>
      </w:r>
      <w:r>
        <w:rPr>
          <w:rFonts w:cs="Abz-2 (Badr)" w:hint="cs"/>
          <w:color w:val="000000" w:themeColor="text1"/>
          <w:sz w:val="28"/>
          <w:szCs w:val="28"/>
          <w:rtl/>
          <w:lang w:bidi="fa-IR"/>
        </w:rPr>
        <w:t>اند اختصاص به مورد تدليس دارد.</w:t>
      </w:r>
    </w:p>
    <w:p w14:paraId="5B053BDF" w14:textId="77777777" w:rsidR="00D81BE3" w:rsidRPr="00F9408D" w:rsidRDefault="00D81BE3" w:rsidP="00D81BE3">
      <w:pPr>
        <w:widowControl w:val="0"/>
        <w:bidi/>
        <w:spacing w:after="0" w:line="26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 و چنانچه بخواهد بعد از دخول فسخ کند، اگر با علم به وجود تدليس دخول کرده باشد، حق فسخ ندارد، زيرا دخول رضايت عملی به عقد است و با وجود رضايت حق فسخ وی ساقط می</w:t>
      </w:r>
      <w:r>
        <w:rPr>
          <w:rFonts w:cs="Abz-2 (Badr)"/>
          <w:color w:val="000000" w:themeColor="text1"/>
          <w:sz w:val="28"/>
          <w:szCs w:val="28"/>
          <w:rtl/>
          <w:lang w:bidi="fa-IR"/>
        </w:rPr>
        <w:softHyphen/>
      </w:r>
      <w:r>
        <w:rPr>
          <w:rFonts w:cs="Abz-2 (Badr)" w:hint="cs"/>
          <w:color w:val="000000" w:themeColor="text1"/>
          <w:sz w:val="28"/>
          <w:szCs w:val="28"/>
          <w:rtl/>
          <w:lang w:bidi="fa-IR"/>
        </w:rPr>
        <w:t>شود و وجهی برای عود آن وجود ندارد.</w:t>
      </w:r>
    </w:p>
    <w:p w14:paraId="72D6B32C" w14:textId="77777777" w:rsidR="00D81BE3" w:rsidRPr="00385799"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اگر در حال وطی جاهل به تدليس بوده باشد، حق فسخ وی باقی است و دليل آن نيز اطلاق برخی از اخبار و خصوص برخی ديگر است که دلالت بر جواز فسخ در اين حالت ولو بعد از دخول دارند و در اين صورت لازم است که جميع مهر المسمی را بپردازد، زيرا فرض بر اين است که اثر فسخ از حين فسخ است و سبب فساد نکاح از اصل آن نيست و وطی در ضمن نکاح صحيح واقع شده است که لازمه آن استقرار جميع مهر المسمی است مگر اين که دليلی خاص دلالت بر غير اين مطلب بکند که در اين مقام چنين دليلی وجود ندارد.</w:t>
      </w:r>
    </w:p>
    <w:p w14:paraId="31A4A508"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برخی قائل شده</w:t>
      </w:r>
      <w:r>
        <w:rPr>
          <w:rFonts w:cs="Abz-2 (Badr)"/>
          <w:color w:val="000000" w:themeColor="text1"/>
          <w:sz w:val="28"/>
          <w:szCs w:val="28"/>
          <w:rtl/>
          <w:lang w:bidi="fa-IR"/>
        </w:rPr>
        <w:softHyphen/>
      </w:r>
      <w:r>
        <w:rPr>
          <w:rFonts w:cs="Abz-2 (Badr)" w:hint="cs"/>
          <w:color w:val="000000" w:themeColor="text1"/>
          <w:sz w:val="28"/>
          <w:szCs w:val="28"/>
          <w:rtl/>
          <w:lang w:bidi="fa-IR"/>
        </w:rPr>
        <w:t>اند که مهر در خصوص مورد ثابت نيست، بلکه در صورت باکره بوده يک دهم و در صورت ثيبه بودن يک بيستم قيمت امه بايد به مولای او پرداخت شود.</w:t>
      </w:r>
    </w:p>
    <w:p w14:paraId="145BFC1A" w14:textId="77777777" w:rsidR="00D81BE3" w:rsidRPr="000C0F9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الصدوق في المقنع: «</w:t>
      </w:r>
      <w:r w:rsidRPr="000C0F93">
        <w:rPr>
          <w:rFonts w:cs="Abz-2 (Badr)"/>
          <w:color w:val="000000" w:themeColor="text1"/>
          <w:sz w:val="28"/>
          <w:szCs w:val="28"/>
          <w:rtl/>
          <w:lang w:bidi="fa-IR"/>
        </w:rPr>
        <w:t>إن تزوّج رجل امرأة أمة على أنّها حرّة، فوجدها قد دلّست نفسها له</w:t>
      </w:r>
      <w:r w:rsidRPr="000C0F93">
        <w:rPr>
          <w:rFonts w:cs="Abz-2 (Badr)" w:hint="cs"/>
          <w:color w:val="000000" w:themeColor="text1"/>
          <w:sz w:val="28"/>
          <w:szCs w:val="28"/>
          <w:rtl/>
          <w:lang w:bidi="fa-IR"/>
        </w:rPr>
        <w:t>،</w:t>
      </w:r>
      <w:r w:rsidRPr="000C0F93">
        <w:rPr>
          <w:rFonts w:cs="Abz-2 (Badr)"/>
          <w:color w:val="000000" w:themeColor="text1"/>
          <w:sz w:val="28"/>
          <w:szCs w:val="28"/>
          <w:rtl/>
          <w:lang w:bidi="fa-IR"/>
        </w:rPr>
        <w:t xml:space="preserve"> ف</w:t>
      </w:r>
      <w:r w:rsidRPr="000C0F93">
        <w:rPr>
          <w:rFonts w:cs="Abz-2 (Badr)" w:hint="cs"/>
          <w:color w:val="000000" w:themeColor="text1"/>
          <w:sz w:val="28"/>
          <w:szCs w:val="28"/>
          <w:rtl/>
          <w:lang w:bidi="fa-IR"/>
        </w:rPr>
        <w:t>إ</w:t>
      </w:r>
      <w:r w:rsidRPr="000C0F93">
        <w:rPr>
          <w:rFonts w:cs="Abz-2 (Badr)"/>
          <w:color w:val="000000" w:themeColor="text1"/>
          <w:sz w:val="28"/>
          <w:szCs w:val="28"/>
          <w:rtl/>
          <w:lang w:bidi="fa-IR"/>
        </w:rPr>
        <w:t xml:space="preserve">ن‌ كان الذي زوّجها </w:t>
      </w:r>
      <w:r w:rsidRPr="000C0F93">
        <w:rPr>
          <w:rFonts w:cs="Abz-2 (Badr)"/>
          <w:color w:val="000000" w:themeColor="text1"/>
          <w:sz w:val="28"/>
          <w:szCs w:val="28"/>
          <w:rtl/>
          <w:lang w:bidi="fa-IR"/>
        </w:rPr>
        <w:lastRenderedPageBreak/>
        <w:t>إيّاه وليّا</w:t>
      </w:r>
      <w:r w:rsidRPr="000C0F93">
        <w:rPr>
          <w:rFonts w:cs="Abz-2 (Badr)" w:hint="cs"/>
          <w:color w:val="000000" w:themeColor="text1"/>
          <w:sz w:val="28"/>
          <w:szCs w:val="28"/>
          <w:rtl/>
          <w:lang w:bidi="fa-IR"/>
        </w:rPr>
        <w:t>ً</w:t>
      </w:r>
      <w:r w:rsidRPr="000C0F93">
        <w:rPr>
          <w:rFonts w:cs="Abz-2 (Badr)"/>
          <w:color w:val="000000" w:themeColor="text1"/>
          <w:sz w:val="28"/>
          <w:szCs w:val="28"/>
          <w:rtl/>
          <w:lang w:bidi="fa-IR"/>
        </w:rPr>
        <w:t xml:space="preserve"> لها، ارتجع على وليّها بما أخذت منه، ولمواليها عليه عشر قيمة ثمنها إنّ‌ كانت بكرا</w:t>
      </w:r>
      <w:r w:rsidRPr="000C0F93">
        <w:rPr>
          <w:rFonts w:cs="Abz-2 (Badr)" w:hint="cs"/>
          <w:color w:val="000000" w:themeColor="text1"/>
          <w:sz w:val="28"/>
          <w:szCs w:val="28"/>
          <w:rtl/>
          <w:lang w:bidi="fa-IR"/>
        </w:rPr>
        <w:t>ً</w:t>
      </w:r>
      <w:r w:rsidRPr="000C0F93">
        <w:rPr>
          <w:rFonts w:cs="Abz-2 (Badr)"/>
          <w:color w:val="000000" w:themeColor="text1"/>
          <w:sz w:val="28"/>
          <w:szCs w:val="28"/>
          <w:rtl/>
          <w:lang w:bidi="fa-IR"/>
        </w:rPr>
        <w:t>، وإن‌ كانت غير بكر فنصف عشر ثمنها بما استحلّ‌ من فرجها</w:t>
      </w:r>
      <w:r w:rsidRPr="000C0F93">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3"/>
      </w:r>
      <w:r>
        <w:rPr>
          <w:rFonts w:cs="Abz-2 (Badr)" w:hint="cs"/>
          <w:color w:val="000000" w:themeColor="text1"/>
          <w:sz w:val="28"/>
          <w:szCs w:val="28"/>
          <w:rtl/>
          <w:lang w:bidi="fa-IR"/>
        </w:rPr>
        <w:t xml:space="preserve"> ومثله کلام الشيخ في النهاية</w:t>
      </w:r>
      <w:r w:rsidRPr="00655B6C">
        <w:rPr>
          <w:rFonts w:cs="Abz-2 (Badr)"/>
          <w:color w:val="000000" w:themeColor="text1"/>
          <w:sz w:val="28"/>
          <w:szCs w:val="28"/>
          <w:vertAlign w:val="superscript"/>
          <w:rtl/>
          <w:lang w:bidi="fa-IR"/>
        </w:rPr>
        <w:footnoteReference w:id="4"/>
      </w:r>
      <w:r>
        <w:rPr>
          <w:rFonts w:cs="Abz-2 (Badr)" w:hint="cs"/>
          <w:color w:val="000000" w:themeColor="text1"/>
          <w:sz w:val="28"/>
          <w:szCs w:val="28"/>
          <w:rtl/>
          <w:lang w:bidi="fa-IR"/>
        </w:rPr>
        <w:t xml:space="preserve"> والکيدري في إصباح الشيعة</w:t>
      </w:r>
      <w:r w:rsidRPr="00655B6C">
        <w:rPr>
          <w:rFonts w:cs="Abz-2 (Badr)"/>
          <w:color w:val="000000" w:themeColor="text1"/>
          <w:sz w:val="28"/>
          <w:szCs w:val="28"/>
          <w:vertAlign w:val="superscript"/>
          <w:rtl/>
          <w:lang w:bidi="fa-IR"/>
        </w:rPr>
        <w:footnoteReference w:id="5"/>
      </w:r>
      <w:r>
        <w:rPr>
          <w:rFonts w:cs="Abz-2 (Badr)" w:hint="cs"/>
          <w:color w:val="000000" w:themeColor="text1"/>
          <w:sz w:val="28"/>
          <w:szCs w:val="28"/>
          <w:rtl/>
          <w:lang w:bidi="fa-IR"/>
        </w:rPr>
        <w:t>.</w:t>
      </w:r>
    </w:p>
    <w:p w14:paraId="27E31CE8"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دليل اين مدعی نيز روايت ذيل است:</w:t>
      </w:r>
    </w:p>
    <w:p w14:paraId="4ED8B13E" w14:textId="77777777" w:rsidR="00D81BE3" w:rsidRPr="00CF6A21" w:rsidRDefault="00D81BE3" w:rsidP="00D81BE3">
      <w:pPr>
        <w:widowControl w:val="0"/>
        <w:bidi/>
        <w:spacing w:after="0" w:line="262" w:lineRule="auto"/>
        <w:ind w:firstLine="284"/>
        <w:jc w:val="both"/>
        <w:rPr>
          <w:rFonts w:cs="Abz-2 (Badr)"/>
          <w:color w:val="000000" w:themeColor="text1"/>
          <w:sz w:val="28"/>
          <w:szCs w:val="28"/>
          <w:rtl/>
          <w:lang w:bidi="fa-IR"/>
        </w:rPr>
      </w:pPr>
      <w:r w:rsidRPr="005D287A">
        <w:rPr>
          <w:rFonts w:cs="Abz-2 (Badr)" w:hint="cs"/>
          <w:color w:val="000000" w:themeColor="text1"/>
          <w:sz w:val="28"/>
          <w:szCs w:val="28"/>
          <w:rtl/>
          <w:lang w:bidi="fa-IR"/>
        </w:rPr>
        <w:t xml:space="preserve">صحيحة </w:t>
      </w:r>
      <w:r w:rsidRPr="00CF6A21">
        <w:rPr>
          <w:rFonts w:cs="Abz-2 (Badr)"/>
          <w:color w:val="000000" w:themeColor="text1"/>
          <w:sz w:val="28"/>
          <w:szCs w:val="28"/>
          <w:rtl/>
          <w:lang w:bidi="fa-IR"/>
        </w:rPr>
        <w:t>الوليد بن‌ صبيح‌ عن‌ أبي عبدالله</w:t>
      </w:r>
      <w:r>
        <w:rPr>
          <w:rFonts w:cs="Abz-2 (Badr)" w:hint="cs"/>
          <w:color w:val="000000" w:themeColor="text1"/>
          <w:sz w:val="28"/>
          <w:szCs w:val="28"/>
          <w:rtl/>
          <w:lang w:bidi="fa-IR"/>
        </w:rPr>
        <w:t>(ع)</w:t>
      </w:r>
      <w:r w:rsidRPr="00CF6A21">
        <w:rPr>
          <w:rFonts w:cs="Abz-2 (Badr)"/>
          <w:color w:val="000000" w:themeColor="text1"/>
          <w:sz w:val="28"/>
          <w:szCs w:val="28"/>
          <w:rtl/>
          <w:lang w:bidi="fa-IR"/>
        </w:rPr>
        <w:t xml:space="preserve">: </w:t>
      </w:r>
      <w:r>
        <w:rPr>
          <w:rFonts w:cs="Abz-2 (Badr)" w:hint="cs"/>
          <w:color w:val="000000" w:themeColor="text1"/>
          <w:sz w:val="28"/>
          <w:szCs w:val="28"/>
          <w:rtl/>
          <w:lang w:bidi="fa-IR"/>
        </w:rPr>
        <w:t>«</w:t>
      </w:r>
      <w:r w:rsidRPr="00CF6A21">
        <w:rPr>
          <w:rFonts w:cs="Abz-2 (Badr)"/>
          <w:color w:val="000000" w:themeColor="text1"/>
          <w:sz w:val="28"/>
          <w:szCs w:val="28"/>
          <w:rtl/>
          <w:lang w:bidi="fa-IR"/>
        </w:rPr>
        <w:t>في رجل‌ تزوّج‌ امرأة‌ حرّة‌ فوجدها أمة‌ قد دلّست‌ نفسها له</w:t>
      </w:r>
      <w:r>
        <w:rPr>
          <w:rFonts w:cs="Abz-2 (Badr)" w:hint="cs"/>
          <w:color w:val="000000" w:themeColor="text1"/>
          <w:sz w:val="28"/>
          <w:szCs w:val="28"/>
          <w:rtl/>
          <w:lang w:bidi="fa-IR"/>
        </w:rPr>
        <w:t>،</w:t>
      </w:r>
      <w:r w:rsidRPr="00CF6A21">
        <w:rPr>
          <w:rFonts w:cs="Abz-2 (Badr)"/>
          <w:color w:val="000000" w:themeColor="text1"/>
          <w:sz w:val="28"/>
          <w:szCs w:val="28"/>
          <w:rtl/>
          <w:lang w:bidi="fa-IR"/>
        </w:rPr>
        <w:t>‌ قال</w:t>
      </w:r>
      <w:r>
        <w:rPr>
          <w:rFonts w:cs="Abz-2 (Badr)" w:hint="cs"/>
          <w:color w:val="000000" w:themeColor="text1"/>
          <w:sz w:val="28"/>
          <w:szCs w:val="28"/>
          <w:rtl/>
          <w:lang w:bidi="fa-IR"/>
        </w:rPr>
        <w:t>:</w:t>
      </w:r>
      <w:r w:rsidRPr="00CF6A21">
        <w:rPr>
          <w:rFonts w:cs="Abz-2 (Badr)"/>
          <w:color w:val="000000" w:themeColor="text1"/>
          <w:sz w:val="28"/>
          <w:szCs w:val="28"/>
          <w:rtl/>
          <w:lang w:bidi="fa-IR"/>
        </w:rPr>
        <w:t>‌ إن‌ كان‌ الذي زوّجها إيّاه‌ من‌ غير مواليها فالنكاح‌ فاسد</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قلت</w:t>
      </w:r>
      <w:r>
        <w:rPr>
          <w:rFonts w:cs="Abz-2 (Badr)" w:hint="cs"/>
          <w:color w:val="000000" w:themeColor="text1"/>
          <w:sz w:val="28"/>
          <w:szCs w:val="28"/>
          <w:rtl/>
          <w:lang w:bidi="fa-IR"/>
        </w:rPr>
        <w:t>:</w:t>
      </w:r>
      <w:r w:rsidRPr="00CF6A21">
        <w:rPr>
          <w:rFonts w:cs="Abz-2 (Badr)"/>
          <w:color w:val="000000" w:themeColor="text1"/>
          <w:sz w:val="28"/>
          <w:szCs w:val="28"/>
          <w:rtl/>
          <w:lang w:bidi="fa-IR"/>
        </w:rPr>
        <w:t>‌ فكيف‌ يصنع‌ بالمهر الذي أخذت‌ منه</w:t>
      </w:r>
      <w:r>
        <w:rPr>
          <w:rFonts w:cs="Abz-2 (Badr)" w:hint="cs"/>
          <w:color w:val="000000" w:themeColor="text1"/>
          <w:sz w:val="28"/>
          <w:szCs w:val="28"/>
          <w:rtl/>
          <w:lang w:bidi="fa-IR"/>
        </w:rPr>
        <w:t>؟</w:t>
      </w:r>
      <w:r w:rsidRPr="00CF6A21">
        <w:rPr>
          <w:rFonts w:cs="Abz-2 (Badr)"/>
          <w:color w:val="000000" w:themeColor="text1"/>
          <w:sz w:val="28"/>
          <w:szCs w:val="28"/>
          <w:rtl/>
          <w:lang w:bidi="fa-IR"/>
        </w:rPr>
        <w:t>‌ قال</w:t>
      </w:r>
      <w:r>
        <w:rPr>
          <w:rFonts w:cs="Abz-2 (Badr)" w:hint="cs"/>
          <w:color w:val="000000" w:themeColor="text1"/>
          <w:sz w:val="28"/>
          <w:szCs w:val="28"/>
          <w:rtl/>
          <w:lang w:bidi="fa-IR"/>
        </w:rPr>
        <w:t>:</w:t>
      </w:r>
      <w:r w:rsidRPr="00CF6A21">
        <w:rPr>
          <w:rFonts w:cs="Abz-2 (Badr)"/>
          <w:color w:val="000000" w:themeColor="text1"/>
          <w:sz w:val="28"/>
          <w:szCs w:val="28"/>
          <w:rtl/>
          <w:lang w:bidi="fa-IR"/>
        </w:rPr>
        <w:t>‌ إن‌ وجد ممّا أعطاها شيئا</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فليأخذه‌</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وإن‌ لم‌ يجد شيئا</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فلا شي‌ء‌ له‌ عليها</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وإن‌ كان‌ زوّجها إيّاه‌ وليّ‌ لها ارتجع‌ على وليّها بما أخذت‌ منه‌ ولمواليها عليه‌ عشر ثمنها إن‌ كانت‌ بكرا</w:t>
      </w:r>
      <w:r>
        <w:rPr>
          <w:rFonts w:cs="Abz-2 (Badr)" w:hint="cs"/>
          <w:color w:val="000000" w:themeColor="text1"/>
          <w:sz w:val="28"/>
          <w:szCs w:val="28"/>
          <w:rtl/>
          <w:lang w:bidi="fa-IR"/>
        </w:rPr>
        <w:t>ً</w:t>
      </w:r>
      <w:r w:rsidRPr="00CF6A21">
        <w:rPr>
          <w:rFonts w:cs="Abz-2 (Badr)"/>
          <w:color w:val="000000" w:themeColor="text1"/>
          <w:sz w:val="28"/>
          <w:szCs w:val="28"/>
          <w:rtl/>
          <w:lang w:bidi="fa-IR"/>
        </w:rPr>
        <w:t xml:space="preserve"> وإن‌ كانت‌ غير بكر فنصف‌ عشر قيمتها بما استحلّ‌ من‌ فرجها</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6"/>
      </w:r>
    </w:p>
    <w:p w14:paraId="6A1483DE"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صاحب مدارک روايت را به معنای ديگری حمل کرده است.</w:t>
      </w:r>
    </w:p>
    <w:p w14:paraId="3013CE84" w14:textId="77777777" w:rsidR="00D81BE3" w:rsidRPr="00191557" w:rsidRDefault="00D81BE3" w:rsidP="00D81BE3">
      <w:pPr>
        <w:widowControl w:val="0"/>
        <w:bidi/>
        <w:spacing w:after="0" w:line="262"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قال السيّد العاملي في نهاية المرام: «</w:t>
      </w:r>
      <w:r w:rsidRPr="00191557">
        <w:rPr>
          <w:rFonts w:cs="Abz-2 (Badr)"/>
          <w:color w:val="000000" w:themeColor="text1"/>
          <w:sz w:val="28"/>
          <w:szCs w:val="28"/>
          <w:rtl/>
          <w:lang w:bidi="fa-IR"/>
        </w:rPr>
        <w:t xml:space="preserve">لو لم يأذن مولى الأمة في العقد ولا </w:t>
      </w:r>
      <w:r>
        <w:rPr>
          <w:rFonts w:cs="Abz-2 (Badr)" w:hint="cs"/>
          <w:color w:val="000000" w:themeColor="text1"/>
          <w:sz w:val="28"/>
          <w:szCs w:val="28"/>
          <w:rtl/>
          <w:lang w:bidi="fa-IR"/>
        </w:rPr>
        <w:t>أ</w:t>
      </w:r>
      <w:r w:rsidRPr="00191557">
        <w:rPr>
          <w:rFonts w:cs="Abz-2 (Badr)"/>
          <w:color w:val="000000" w:themeColor="text1"/>
          <w:sz w:val="28"/>
          <w:szCs w:val="28"/>
          <w:rtl/>
          <w:lang w:bidi="fa-IR"/>
        </w:rPr>
        <w:t>جازه بعد وقوعه، وقع فاسدا</w:t>
      </w:r>
      <w:r>
        <w:rPr>
          <w:rFonts w:cs="Abz-2 (Badr)" w:hint="cs"/>
          <w:color w:val="000000" w:themeColor="text1"/>
          <w:sz w:val="28"/>
          <w:szCs w:val="28"/>
          <w:rtl/>
          <w:lang w:bidi="fa-IR"/>
        </w:rPr>
        <w:t>ً</w:t>
      </w:r>
      <w:r w:rsidRPr="00191557">
        <w:rPr>
          <w:rFonts w:cs="Abz-2 (Badr)"/>
          <w:color w:val="000000" w:themeColor="text1"/>
          <w:sz w:val="28"/>
          <w:szCs w:val="28"/>
          <w:rtl/>
          <w:lang w:bidi="fa-IR"/>
        </w:rPr>
        <w:t xml:space="preserve"> من أصله، ويلزم الزوج مع الدخول العشر </w:t>
      </w:r>
      <w:r>
        <w:rPr>
          <w:rFonts w:cs="Abz-2 (Badr)" w:hint="cs"/>
          <w:color w:val="000000" w:themeColor="text1"/>
          <w:sz w:val="28"/>
          <w:szCs w:val="28"/>
          <w:rtl/>
          <w:lang w:bidi="fa-IR"/>
        </w:rPr>
        <w:t>إ</w:t>
      </w:r>
      <w:r w:rsidRPr="00191557">
        <w:rPr>
          <w:rFonts w:cs="Abz-2 (Badr)"/>
          <w:color w:val="000000" w:themeColor="text1"/>
          <w:sz w:val="28"/>
          <w:szCs w:val="28"/>
          <w:rtl/>
          <w:lang w:bidi="fa-IR"/>
        </w:rPr>
        <w:t>ن كانت بكرا</w:t>
      </w:r>
      <w:r>
        <w:rPr>
          <w:rFonts w:cs="Abz-2 (Badr)" w:hint="cs"/>
          <w:color w:val="000000" w:themeColor="text1"/>
          <w:sz w:val="28"/>
          <w:szCs w:val="28"/>
          <w:rtl/>
          <w:lang w:bidi="fa-IR"/>
        </w:rPr>
        <w:t>ً</w:t>
      </w:r>
      <w:r w:rsidRPr="00191557">
        <w:rPr>
          <w:rFonts w:cs="Abz-2 (Badr)"/>
          <w:color w:val="000000" w:themeColor="text1"/>
          <w:sz w:val="28"/>
          <w:szCs w:val="28"/>
          <w:rtl/>
          <w:lang w:bidi="fa-IR"/>
        </w:rPr>
        <w:t xml:space="preserve"> ونصفه </w:t>
      </w:r>
      <w:r>
        <w:rPr>
          <w:rFonts w:cs="Abz-2 (Badr)" w:hint="cs"/>
          <w:color w:val="000000" w:themeColor="text1"/>
          <w:sz w:val="28"/>
          <w:szCs w:val="28"/>
          <w:rtl/>
          <w:lang w:bidi="fa-IR"/>
        </w:rPr>
        <w:t>إ</w:t>
      </w:r>
      <w:r w:rsidRPr="00191557">
        <w:rPr>
          <w:rFonts w:cs="Abz-2 (Badr)"/>
          <w:color w:val="000000" w:themeColor="text1"/>
          <w:sz w:val="28"/>
          <w:szCs w:val="28"/>
          <w:rtl/>
          <w:lang w:bidi="fa-IR"/>
        </w:rPr>
        <w:t>ن كانت ثي</w:t>
      </w:r>
      <w:r>
        <w:rPr>
          <w:rFonts w:cs="Abz-2 (Badr)" w:hint="cs"/>
          <w:color w:val="000000" w:themeColor="text1"/>
          <w:sz w:val="28"/>
          <w:szCs w:val="28"/>
          <w:rtl/>
          <w:lang w:bidi="fa-IR"/>
        </w:rPr>
        <w:t>ّ</w:t>
      </w:r>
      <w:r w:rsidRPr="00191557">
        <w:rPr>
          <w:rFonts w:cs="Abz-2 (Badr)"/>
          <w:color w:val="000000" w:themeColor="text1"/>
          <w:sz w:val="28"/>
          <w:szCs w:val="28"/>
          <w:rtl/>
          <w:lang w:bidi="fa-IR"/>
        </w:rPr>
        <w:t>با</w:t>
      </w:r>
      <w:r>
        <w:rPr>
          <w:rFonts w:cs="Abz-2 (Badr)" w:hint="cs"/>
          <w:color w:val="000000" w:themeColor="text1"/>
          <w:sz w:val="28"/>
          <w:szCs w:val="28"/>
          <w:rtl/>
          <w:lang w:bidi="fa-IR"/>
        </w:rPr>
        <w:t>ً</w:t>
      </w:r>
      <w:r w:rsidRPr="00191557">
        <w:rPr>
          <w:rFonts w:cs="Abz-2 (Badr)"/>
          <w:color w:val="000000" w:themeColor="text1"/>
          <w:sz w:val="28"/>
          <w:szCs w:val="28"/>
          <w:rtl/>
          <w:lang w:bidi="fa-IR"/>
        </w:rPr>
        <w:t xml:space="preserve"> على الأصحّ‌ عملا</w:t>
      </w:r>
      <w:r>
        <w:rPr>
          <w:rFonts w:cs="Abz-2 (Badr)" w:hint="cs"/>
          <w:color w:val="000000" w:themeColor="text1"/>
          <w:sz w:val="28"/>
          <w:szCs w:val="28"/>
          <w:rtl/>
          <w:lang w:bidi="fa-IR"/>
        </w:rPr>
        <w:t>ً</w:t>
      </w:r>
      <w:r w:rsidRPr="00191557">
        <w:rPr>
          <w:rFonts w:cs="Abz-2 (Badr)"/>
          <w:color w:val="000000" w:themeColor="text1"/>
          <w:sz w:val="28"/>
          <w:szCs w:val="28"/>
          <w:rtl/>
          <w:lang w:bidi="fa-IR"/>
        </w:rPr>
        <w:t xml:space="preserve"> برواية الوليد المتقد</w:t>
      </w:r>
      <w:r>
        <w:rPr>
          <w:rFonts w:cs="Abz-2 (Badr)" w:hint="cs"/>
          <w:color w:val="000000" w:themeColor="text1"/>
          <w:sz w:val="28"/>
          <w:szCs w:val="28"/>
          <w:rtl/>
          <w:lang w:bidi="fa-IR"/>
        </w:rPr>
        <w:t>ّ</w:t>
      </w:r>
      <w:r w:rsidRPr="00191557">
        <w:rPr>
          <w:rFonts w:cs="Abz-2 (Badr)"/>
          <w:color w:val="000000" w:themeColor="text1"/>
          <w:sz w:val="28"/>
          <w:szCs w:val="28"/>
          <w:rtl/>
          <w:lang w:bidi="fa-IR"/>
        </w:rPr>
        <w:t>مة وما في معناها.</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7"/>
      </w:r>
    </w:p>
    <w:p w14:paraId="02E662E4"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صاحب جواهر نيز ظهور روايت را در مورد فساد عقد دانسته است.</w:t>
      </w:r>
      <w:r w:rsidRPr="00655B6C">
        <w:rPr>
          <w:rFonts w:cs="Abz-2 (Badr)"/>
          <w:color w:val="000000" w:themeColor="text1"/>
          <w:sz w:val="28"/>
          <w:szCs w:val="28"/>
          <w:vertAlign w:val="superscript"/>
          <w:rtl/>
          <w:lang w:bidi="fa-IR"/>
        </w:rPr>
        <w:footnoteReference w:id="8"/>
      </w:r>
    </w:p>
    <w:p w14:paraId="5B6C7C80"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حق اين است که اين روايت مجمل است، زيرا امام(ع) ابتدا در آن می</w:t>
      </w:r>
      <w:r>
        <w:rPr>
          <w:rFonts w:cs="Abz-2 (Badr)"/>
          <w:color w:val="000000" w:themeColor="text1"/>
          <w:sz w:val="28"/>
          <w:szCs w:val="28"/>
          <w:rtl/>
          <w:lang w:bidi="fa-IR"/>
        </w:rPr>
        <w:softHyphen/>
      </w:r>
      <w:r>
        <w:rPr>
          <w:rFonts w:cs="Abz-2 (Badr)" w:hint="cs"/>
          <w:color w:val="000000" w:themeColor="text1"/>
          <w:sz w:val="28"/>
          <w:szCs w:val="28"/>
          <w:rtl/>
          <w:lang w:bidi="fa-IR"/>
        </w:rPr>
        <w:t>فرمايد: اگر ولی امه او را به تزويج درآورده، زوج می</w:t>
      </w:r>
      <w:r>
        <w:rPr>
          <w:rFonts w:cs="Abz-2 (Badr)"/>
          <w:color w:val="000000" w:themeColor="text1"/>
          <w:sz w:val="28"/>
          <w:szCs w:val="28"/>
          <w:rtl/>
          <w:lang w:bidi="fa-IR"/>
        </w:rPr>
        <w:softHyphen/>
      </w:r>
      <w:r>
        <w:rPr>
          <w:rFonts w:cs="Abz-2 (Badr)" w:hint="cs"/>
          <w:color w:val="000000" w:themeColor="text1"/>
          <w:sz w:val="28"/>
          <w:szCs w:val="28"/>
          <w:rtl/>
          <w:lang w:bidi="fa-IR"/>
        </w:rPr>
        <w:t>تواند آنچه را به امه داده از او مطالبه نمايد و سپس می</w:t>
      </w:r>
      <w:r>
        <w:rPr>
          <w:rFonts w:cs="Abz-2 (Badr)"/>
          <w:color w:val="000000" w:themeColor="text1"/>
          <w:sz w:val="28"/>
          <w:szCs w:val="28"/>
          <w:rtl/>
          <w:lang w:bidi="fa-IR"/>
        </w:rPr>
        <w:softHyphen/>
      </w:r>
      <w:r>
        <w:rPr>
          <w:rFonts w:cs="Abz-2 (Badr)" w:hint="cs"/>
          <w:color w:val="000000" w:themeColor="text1"/>
          <w:sz w:val="28"/>
          <w:szCs w:val="28"/>
          <w:rtl/>
          <w:lang w:bidi="fa-IR"/>
        </w:rPr>
        <w:t>فرمايد: زوج بايد يک دهم يا يک بيستم قيمت امه را به موالی او بپردازد که ظاهر آن اين است که در همين فرض بيان می</w:t>
      </w:r>
      <w:r>
        <w:rPr>
          <w:rFonts w:cs="Abz-2 (Badr)"/>
          <w:color w:val="000000" w:themeColor="text1"/>
          <w:sz w:val="28"/>
          <w:szCs w:val="28"/>
          <w:rtl/>
          <w:lang w:bidi="fa-IR"/>
        </w:rPr>
        <w:softHyphen/>
      </w:r>
      <w:r>
        <w:rPr>
          <w:rFonts w:cs="Abz-2 (Badr)" w:hint="cs"/>
          <w:color w:val="000000" w:themeColor="text1"/>
          <w:sz w:val="28"/>
          <w:szCs w:val="28"/>
          <w:rtl/>
          <w:lang w:bidi="fa-IR"/>
        </w:rPr>
        <w:t>شود، در حالی که اگر تدليس توسط ولی صورت پذيرفته باشد وجهی برای اخذ چنين مالی از زوج توسط وی به خاطر وطی وجود ندارد.</w:t>
      </w:r>
    </w:p>
    <w:p w14:paraId="6BF112C4"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مگر اين که فرض شود که امه دارای موالی متعدد است و يکی از آنها تدليس مذکور را انجام داده و در اين صورت زوج بايد به باقی موالی يک دهم يا يک بيستم قيمت امه را بدهد، ولی در اين صورت نيز وجهی برای اخذ اين مبلغ از زوج وجود ندارد، بلکه مبلغ بايد از مدلّس گرفته شود.</w:t>
      </w:r>
    </w:p>
    <w:p w14:paraId="1A69D900"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احتمال نيز دارد که ذيل روايت در نسخه</w:t>
      </w:r>
      <w:r>
        <w:rPr>
          <w:rFonts w:cs="Abz-2 (Badr)"/>
          <w:color w:val="000000" w:themeColor="text1"/>
          <w:sz w:val="28"/>
          <w:szCs w:val="28"/>
          <w:rtl/>
          <w:lang w:bidi="fa-IR"/>
        </w:rPr>
        <w:softHyphen/>
      </w:r>
      <w:r>
        <w:rPr>
          <w:rFonts w:cs="Abz-2 (Badr)" w:hint="cs"/>
          <w:color w:val="000000" w:themeColor="text1"/>
          <w:sz w:val="28"/>
          <w:szCs w:val="28"/>
          <w:rtl/>
          <w:lang w:bidi="fa-IR"/>
        </w:rPr>
        <w:t>برداری جابجا شده و در واقع ادامه صدر آن بوده است که امام(ع) در مقام بيان احکام نکاح در صورتی بوده</w:t>
      </w:r>
      <w:r>
        <w:rPr>
          <w:rFonts w:cs="Abz-2 (Badr)"/>
          <w:color w:val="000000" w:themeColor="text1"/>
          <w:sz w:val="28"/>
          <w:szCs w:val="28"/>
          <w:rtl/>
          <w:lang w:bidi="fa-IR"/>
        </w:rPr>
        <w:softHyphen/>
      </w:r>
      <w:r>
        <w:rPr>
          <w:rFonts w:cs="Abz-2 (Badr)" w:hint="cs"/>
          <w:color w:val="000000" w:themeColor="text1"/>
          <w:sz w:val="28"/>
          <w:szCs w:val="28"/>
          <w:rtl/>
          <w:lang w:bidi="fa-IR"/>
        </w:rPr>
        <w:t>اند که مدلّس غير ولی بوده و ولی امه نيز بعداً نکاح را اجازه نکرده است که در اين صورت احتمال صاحب مدارک و صاحب جواهر وجه پيدا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69B688C6" w14:textId="77777777" w:rsidR="00D81BE3" w:rsidRDefault="00D81BE3" w:rsidP="00D81BE3">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بنابر اين با وجود چنين اجمالی اخذ به روايت امکان</w:t>
      </w:r>
      <w:r>
        <w:rPr>
          <w:rFonts w:cs="Abz-2 (Badr)"/>
          <w:color w:val="000000" w:themeColor="text1"/>
          <w:sz w:val="28"/>
          <w:szCs w:val="28"/>
          <w:rtl/>
          <w:lang w:bidi="fa-IR"/>
        </w:rPr>
        <w:softHyphen/>
      </w:r>
      <w:r>
        <w:rPr>
          <w:rFonts w:cs="Abz-2 (Badr)" w:hint="cs"/>
          <w:color w:val="000000" w:themeColor="text1"/>
          <w:sz w:val="28"/>
          <w:szCs w:val="28"/>
          <w:rtl/>
          <w:lang w:bidi="fa-IR"/>
        </w:rPr>
        <w:t>پذير نيست و در نتيجه همان طور که گذشت، زوج بايد تمام مهرالمسمی را بپردازد.</w:t>
      </w:r>
    </w:p>
    <w:p w14:paraId="50D1C63F" w14:textId="493B73A6" w:rsidR="00335969" w:rsidRDefault="00D81BE3" w:rsidP="000879B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برخی گفته</w:t>
      </w:r>
      <w:r>
        <w:rPr>
          <w:rFonts w:cs="Abz-2 (Badr)"/>
          <w:color w:val="000000" w:themeColor="text1"/>
          <w:sz w:val="28"/>
          <w:szCs w:val="28"/>
          <w:rtl/>
          <w:lang w:bidi="fa-IR"/>
        </w:rPr>
        <w:softHyphen/>
      </w:r>
      <w:r>
        <w:rPr>
          <w:rFonts w:cs="Abz-2 (Badr)" w:hint="cs"/>
          <w:color w:val="000000" w:themeColor="text1"/>
          <w:sz w:val="28"/>
          <w:szCs w:val="28"/>
          <w:rtl/>
          <w:lang w:bidi="fa-IR"/>
        </w:rPr>
        <w:t>اند که روايت از حيث اعراض اصحاب از آن قابل اخذ نيست</w:t>
      </w:r>
      <w:r w:rsidRPr="00655B6C">
        <w:rPr>
          <w:rFonts w:cs="Abz-2 (Badr)"/>
          <w:color w:val="000000" w:themeColor="text1"/>
          <w:sz w:val="28"/>
          <w:szCs w:val="28"/>
          <w:vertAlign w:val="superscript"/>
          <w:rtl/>
          <w:lang w:bidi="fa-IR"/>
        </w:rPr>
        <w:footnoteReference w:id="9"/>
      </w:r>
      <w:r>
        <w:rPr>
          <w:rFonts w:cs="Abz-2 (Badr)" w:hint="cs"/>
          <w:color w:val="000000" w:themeColor="text1"/>
          <w:sz w:val="28"/>
          <w:szCs w:val="28"/>
          <w:rtl/>
          <w:lang w:bidi="fa-IR"/>
        </w:rPr>
        <w:t>، ولی همان گونه که سابقاً نيز بيان کرده</w:t>
      </w:r>
      <w:r>
        <w:rPr>
          <w:rFonts w:cs="Abz-2 (Badr)"/>
          <w:color w:val="000000" w:themeColor="text1"/>
          <w:sz w:val="28"/>
          <w:szCs w:val="28"/>
          <w:rtl/>
          <w:lang w:bidi="fa-IR"/>
        </w:rPr>
        <w:softHyphen/>
      </w:r>
      <w:r>
        <w:rPr>
          <w:rFonts w:cs="Abz-2 (Badr)" w:hint="cs"/>
          <w:color w:val="000000" w:themeColor="text1"/>
          <w:sz w:val="28"/>
          <w:szCs w:val="28"/>
          <w:rtl/>
          <w:lang w:bidi="fa-IR"/>
        </w:rPr>
        <w:t>ايم، در نزد ما اعراضی که سبب می</w:t>
      </w:r>
      <w:r>
        <w:rPr>
          <w:rFonts w:cs="Abz-2 (Badr)"/>
          <w:color w:val="000000" w:themeColor="text1"/>
          <w:sz w:val="28"/>
          <w:szCs w:val="28"/>
          <w:rtl/>
          <w:lang w:bidi="fa-IR"/>
        </w:rPr>
        <w:softHyphen/>
      </w:r>
      <w:r>
        <w:rPr>
          <w:rFonts w:cs="Abz-2 (Badr)" w:hint="cs"/>
          <w:color w:val="000000" w:themeColor="text1"/>
          <w:sz w:val="28"/>
          <w:szCs w:val="28"/>
          <w:rtl/>
          <w:lang w:bidi="fa-IR"/>
        </w:rPr>
        <w:t>شود روايت از اعتبار ساقط شود، اعراضی است که ناشی از اشکال صدوری روايت باشد نه اشکال دلالی آن، و قرائن دلالت بر اين دارند که اعراض مذکور اعراض دلالی است نه صدوری و دليلی برای اين که روايت به اين واسطه غير معتبر گردد وجود ندارد.</w:t>
      </w:r>
    </w:p>
    <w:bookmarkEnd w:id="0"/>
    <w:sectPr w:rsidR="00335969">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07076E3B" w14:textId="77777777" w:rsidR="00D81BE3" w:rsidRPr="002D27AB" w:rsidRDefault="00D81BE3" w:rsidP="00D81BE3">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کافي،ج5،ص408،ح14 ـ وسائل،ج21،ص208،ح26909.</w:t>
      </w:r>
    </w:p>
  </w:footnote>
  <w:footnote w:id="2">
    <w:p w14:paraId="431C76CB" w14:textId="77777777" w:rsidR="00D81BE3" w:rsidRPr="002D27AB" w:rsidRDefault="00D81BE3" w:rsidP="00D81BE3">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تهذيب،ج7،ص426،ح1700 ـ وسائل،ج21،ص210 و 211،ح26918.</w:t>
      </w:r>
    </w:p>
  </w:footnote>
  <w:footnote w:id="3">
    <w:p w14:paraId="36062DC7"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مقنع،ص313</w:t>
      </w:r>
      <w:r w:rsidRPr="00655B6C">
        <w:rPr>
          <w:rFonts w:cs="Abz-2 (Badr)" w:hint="cs"/>
          <w:sz w:val="22"/>
          <w:szCs w:val="22"/>
          <w:rtl/>
        </w:rPr>
        <w:t>.</w:t>
      </w:r>
    </w:p>
  </w:footnote>
  <w:footnote w:id="4">
    <w:p w14:paraId="2616F194"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نهايه،ص477</w:t>
      </w:r>
      <w:r w:rsidRPr="00655B6C">
        <w:rPr>
          <w:rFonts w:cs="Abz-2 (Badr)" w:hint="cs"/>
          <w:sz w:val="22"/>
          <w:szCs w:val="22"/>
          <w:rtl/>
        </w:rPr>
        <w:t>.</w:t>
      </w:r>
    </w:p>
  </w:footnote>
  <w:footnote w:id="5">
    <w:p w14:paraId="593E7CC7"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إصباح الشيعة،ص411</w:t>
      </w:r>
      <w:r w:rsidRPr="00655B6C">
        <w:rPr>
          <w:rFonts w:cs="Abz-2 (Badr)" w:hint="cs"/>
          <w:sz w:val="22"/>
          <w:szCs w:val="22"/>
          <w:rtl/>
        </w:rPr>
        <w:t>.</w:t>
      </w:r>
    </w:p>
  </w:footnote>
  <w:footnote w:id="6">
    <w:p w14:paraId="4D45B91B"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کافی،ج5،ص404 و 405،ح1 ـ وسائل،ج21،ص185 و 186،ح26859</w:t>
      </w:r>
      <w:r w:rsidRPr="00655B6C">
        <w:rPr>
          <w:rFonts w:cs="Abz-2 (Badr)" w:hint="cs"/>
          <w:sz w:val="22"/>
          <w:szCs w:val="22"/>
          <w:rtl/>
        </w:rPr>
        <w:t>.</w:t>
      </w:r>
    </w:p>
  </w:footnote>
  <w:footnote w:id="7">
    <w:p w14:paraId="06DB2059"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نهاية المرام،ج1،ص352</w:t>
      </w:r>
      <w:r w:rsidRPr="00655B6C">
        <w:rPr>
          <w:rFonts w:cs="Abz-2 (Badr)" w:hint="cs"/>
          <w:sz w:val="22"/>
          <w:szCs w:val="22"/>
          <w:rtl/>
        </w:rPr>
        <w:t>.</w:t>
      </w:r>
    </w:p>
  </w:footnote>
  <w:footnote w:id="8">
    <w:p w14:paraId="1F749A26"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جواهر،ج31،ص654</w:t>
      </w:r>
      <w:r w:rsidRPr="00655B6C">
        <w:rPr>
          <w:rFonts w:cs="Abz-2 (Badr)" w:hint="cs"/>
          <w:sz w:val="22"/>
          <w:szCs w:val="22"/>
          <w:rtl/>
        </w:rPr>
        <w:t>.</w:t>
      </w:r>
    </w:p>
  </w:footnote>
  <w:footnote w:id="9">
    <w:p w14:paraId="574A76E6" w14:textId="77777777" w:rsidR="00D81BE3" w:rsidRPr="00655B6C" w:rsidRDefault="00D81BE3" w:rsidP="00D81BE3">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همان</w:t>
      </w:r>
      <w:r w:rsidRPr="00655B6C">
        <w:rPr>
          <w:rFonts w:cs="Abz-2 (Badr)"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79BF"/>
    <w:rsid w:val="000B64A7"/>
    <w:rsid w:val="000E1CDA"/>
    <w:rsid w:val="000F2E50"/>
    <w:rsid w:val="00101B80"/>
    <w:rsid w:val="001050A2"/>
    <w:rsid w:val="001420FB"/>
    <w:rsid w:val="00145844"/>
    <w:rsid w:val="00150806"/>
    <w:rsid w:val="001922E4"/>
    <w:rsid w:val="001D1305"/>
    <w:rsid w:val="001D4A4D"/>
    <w:rsid w:val="0029688A"/>
    <w:rsid w:val="002A09CF"/>
    <w:rsid w:val="002C7D85"/>
    <w:rsid w:val="002D27AB"/>
    <w:rsid w:val="002E0246"/>
    <w:rsid w:val="00331A5F"/>
    <w:rsid w:val="00335969"/>
    <w:rsid w:val="003361EF"/>
    <w:rsid w:val="003A1222"/>
    <w:rsid w:val="003A199D"/>
    <w:rsid w:val="00487869"/>
    <w:rsid w:val="00521235"/>
    <w:rsid w:val="005327C7"/>
    <w:rsid w:val="005532E0"/>
    <w:rsid w:val="005751F1"/>
    <w:rsid w:val="005B6905"/>
    <w:rsid w:val="0060689C"/>
    <w:rsid w:val="00621F9A"/>
    <w:rsid w:val="00625979"/>
    <w:rsid w:val="006B2F35"/>
    <w:rsid w:val="006C580F"/>
    <w:rsid w:val="0070259D"/>
    <w:rsid w:val="00703021"/>
    <w:rsid w:val="00706DD2"/>
    <w:rsid w:val="007374CF"/>
    <w:rsid w:val="00750FB1"/>
    <w:rsid w:val="008869B4"/>
    <w:rsid w:val="008C3DDD"/>
    <w:rsid w:val="008F3842"/>
    <w:rsid w:val="00901208"/>
    <w:rsid w:val="009251BE"/>
    <w:rsid w:val="00940DC9"/>
    <w:rsid w:val="009A3CA7"/>
    <w:rsid w:val="009C1C9D"/>
    <w:rsid w:val="009D42F6"/>
    <w:rsid w:val="00A17467"/>
    <w:rsid w:val="00A62A68"/>
    <w:rsid w:val="00A75FB0"/>
    <w:rsid w:val="00A96A24"/>
    <w:rsid w:val="00AB148E"/>
    <w:rsid w:val="00BB28BF"/>
    <w:rsid w:val="00BD6EF3"/>
    <w:rsid w:val="00C004FA"/>
    <w:rsid w:val="00C01832"/>
    <w:rsid w:val="00C8378C"/>
    <w:rsid w:val="00C9359C"/>
    <w:rsid w:val="00C9572F"/>
    <w:rsid w:val="00CA0BC4"/>
    <w:rsid w:val="00CD52E6"/>
    <w:rsid w:val="00D22A70"/>
    <w:rsid w:val="00D663C8"/>
    <w:rsid w:val="00D81BE3"/>
    <w:rsid w:val="00D97411"/>
    <w:rsid w:val="00E214D7"/>
    <w:rsid w:val="00E2487C"/>
    <w:rsid w:val="00E55342"/>
    <w:rsid w:val="00E6533A"/>
    <w:rsid w:val="00E77A81"/>
    <w:rsid w:val="00ED7F5C"/>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4</cp:revision>
  <cp:lastPrinted>2022-10-16T16:59:00Z</cp:lastPrinted>
  <dcterms:created xsi:type="dcterms:W3CDTF">2022-10-16T08:36:00Z</dcterms:created>
  <dcterms:modified xsi:type="dcterms:W3CDTF">2022-10-17T07:16:00Z</dcterms:modified>
</cp:coreProperties>
</file>