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5C3F491A"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5751F1">
        <w:rPr>
          <w:rFonts w:cs="B Mitra" w:hint="cs"/>
          <w:b/>
          <w:bCs/>
          <w:sz w:val="32"/>
          <w:szCs w:val="32"/>
          <w:rtl/>
          <w:lang w:bidi="fa-IR"/>
        </w:rPr>
        <w:t>4</w:t>
      </w:r>
    </w:p>
    <w:p w14:paraId="0F29C916"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bookmarkStart w:id="0" w:name="_Hlk116244902"/>
      <w:r>
        <w:rPr>
          <w:rFonts w:cs="Abz-2 (Badr)" w:hint="cs"/>
          <w:color w:val="000000" w:themeColor="text1"/>
          <w:sz w:val="28"/>
          <w:szCs w:val="28"/>
          <w:rtl/>
          <w:lang w:bidi="fa-IR"/>
        </w:rPr>
        <w:t>صاحب جواهر در نهايت کلام خود، بيانی در خصوص رابطه بين فسخ به عيب و فسخ به تدليس دارند.</w:t>
      </w:r>
    </w:p>
    <w:p w14:paraId="5113FB53"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صاحب الجواهر: «</w:t>
      </w:r>
      <w:r w:rsidRPr="00ED7F5C">
        <w:rPr>
          <w:rFonts w:cs="Abz-2 (Badr)"/>
          <w:color w:val="000000" w:themeColor="text1"/>
          <w:sz w:val="28"/>
          <w:szCs w:val="28"/>
          <w:rtl/>
          <w:lang w:bidi="fa-IR"/>
        </w:rPr>
        <w:t>قد ظهر لك مم</w:t>
      </w:r>
      <w:r>
        <w:rPr>
          <w:rFonts w:cs="Abz-2 (Badr)" w:hint="cs"/>
          <w:color w:val="000000" w:themeColor="text1"/>
          <w:sz w:val="28"/>
          <w:szCs w:val="28"/>
          <w:rtl/>
          <w:lang w:bidi="fa-IR"/>
        </w:rPr>
        <w:t>ّ</w:t>
      </w:r>
      <w:r w:rsidRPr="00ED7F5C">
        <w:rPr>
          <w:rFonts w:cs="Abz-2 (Badr)"/>
          <w:color w:val="000000" w:themeColor="text1"/>
          <w:sz w:val="28"/>
          <w:szCs w:val="28"/>
          <w:rtl/>
          <w:lang w:bidi="fa-IR"/>
        </w:rPr>
        <w:t>ا ذكرنا مجامعة العيب للتدليس وانفراد كل</w:t>
      </w:r>
      <w:r>
        <w:rPr>
          <w:rFonts w:cs="Abz-2 (Badr)" w:hint="cs"/>
          <w:color w:val="000000" w:themeColor="text1"/>
          <w:sz w:val="28"/>
          <w:szCs w:val="28"/>
          <w:rtl/>
          <w:lang w:bidi="fa-IR"/>
        </w:rPr>
        <w:t>ّ</w:t>
      </w:r>
      <w:r w:rsidRPr="00ED7F5C">
        <w:rPr>
          <w:rFonts w:cs="Abz-2 (Badr)"/>
          <w:color w:val="000000" w:themeColor="text1"/>
          <w:sz w:val="28"/>
          <w:szCs w:val="28"/>
          <w:rtl/>
          <w:lang w:bidi="fa-IR"/>
        </w:rPr>
        <w:t xml:space="preserve"> منهما عن ال</w:t>
      </w:r>
      <w:r>
        <w:rPr>
          <w:rFonts w:cs="Abz-2 (Badr)" w:hint="cs"/>
          <w:color w:val="000000" w:themeColor="text1"/>
          <w:sz w:val="28"/>
          <w:szCs w:val="28"/>
          <w:rtl/>
          <w:lang w:bidi="fa-IR"/>
        </w:rPr>
        <w:t>آ</w:t>
      </w:r>
      <w:r w:rsidRPr="00ED7F5C">
        <w:rPr>
          <w:rFonts w:cs="Abz-2 (Badr)"/>
          <w:color w:val="000000" w:themeColor="text1"/>
          <w:sz w:val="28"/>
          <w:szCs w:val="28"/>
          <w:rtl/>
          <w:lang w:bidi="fa-IR"/>
        </w:rPr>
        <w:t>خر، فقد يكون عيبا</w:t>
      </w:r>
      <w:r>
        <w:rPr>
          <w:rFonts w:cs="Abz-2 (Badr)" w:hint="cs"/>
          <w:color w:val="000000" w:themeColor="text1"/>
          <w:sz w:val="28"/>
          <w:szCs w:val="28"/>
          <w:rtl/>
          <w:lang w:bidi="fa-IR"/>
        </w:rPr>
        <w:t>ً</w:t>
      </w:r>
      <w:r w:rsidRPr="00ED7F5C">
        <w:rPr>
          <w:rFonts w:cs="Abz-2 (Badr)"/>
          <w:color w:val="000000" w:themeColor="text1"/>
          <w:sz w:val="28"/>
          <w:szCs w:val="28"/>
          <w:rtl/>
          <w:lang w:bidi="fa-IR"/>
        </w:rPr>
        <w:t xml:space="preserve"> من غير تدليس كما لو كان خفي</w:t>
      </w:r>
      <w:r>
        <w:rPr>
          <w:rFonts w:cs="Abz-2 (Badr)" w:hint="cs"/>
          <w:color w:val="000000" w:themeColor="text1"/>
          <w:sz w:val="28"/>
          <w:szCs w:val="28"/>
          <w:rtl/>
          <w:lang w:bidi="fa-IR"/>
        </w:rPr>
        <w:t>ّ</w:t>
      </w:r>
      <w:r w:rsidRPr="00ED7F5C">
        <w:rPr>
          <w:rFonts w:cs="Abz-2 (Badr)"/>
          <w:color w:val="000000" w:themeColor="text1"/>
          <w:sz w:val="28"/>
          <w:szCs w:val="28"/>
          <w:rtl/>
          <w:lang w:bidi="fa-IR"/>
        </w:rPr>
        <w:t>ا</w:t>
      </w:r>
      <w:r>
        <w:rPr>
          <w:rFonts w:cs="Abz-2 (Badr)" w:hint="cs"/>
          <w:color w:val="000000" w:themeColor="text1"/>
          <w:sz w:val="28"/>
          <w:szCs w:val="28"/>
          <w:rtl/>
          <w:lang w:bidi="fa-IR"/>
        </w:rPr>
        <w:t>ً</w:t>
      </w:r>
      <w:r w:rsidRPr="00ED7F5C">
        <w:rPr>
          <w:rFonts w:cs="Abz-2 (Badr)"/>
          <w:color w:val="000000" w:themeColor="text1"/>
          <w:sz w:val="28"/>
          <w:szCs w:val="28"/>
          <w:rtl/>
          <w:lang w:bidi="fa-IR"/>
        </w:rPr>
        <w:t xml:space="preserve"> على الزوجة وولي</w:t>
      </w:r>
      <w:r>
        <w:rPr>
          <w:rFonts w:cs="Abz-2 (Badr)" w:hint="cs"/>
          <w:color w:val="000000" w:themeColor="text1"/>
          <w:sz w:val="28"/>
          <w:szCs w:val="28"/>
          <w:rtl/>
          <w:lang w:bidi="fa-IR"/>
        </w:rPr>
        <w:t>ّ</w:t>
      </w:r>
      <w:r w:rsidRPr="00ED7F5C">
        <w:rPr>
          <w:rFonts w:cs="Abz-2 (Badr)"/>
          <w:color w:val="000000" w:themeColor="text1"/>
          <w:sz w:val="28"/>
          <w:szCs w:val="28"/>
          <w:rtl/>
          <w:lang w:bidi="fa-IR"/>
        </w:rPr>
        <w:t>ها، وما في جامع المقاصد من التوق</w:t>
      </w:r>
      <w:r>
        <w:rPr>
          <w:rFonts w:cs="Abz-2 (Badr)" w:hint="cs"/>
          <w:color w:val="000000" w:themeColor="text1"/>
          <w:sz w:val="28"/>
          <w:szCs w:val="28"/>
          <w:rtl/>
          <w:lang w:bidi="fa-IR"/>
        </w:rPr>
        <w:t>ّ</w:t>
      </w:r>
      <w:r w:rsidRPr="00ED7F5C">
        <w:rPr>
          <w:rFonts w:cs="Abz-2 (Badr)"/>
          <w:color w:val="000000" w:themeColor="text1"/>
          <w:sz w:val="28"/>
          <w:szCs w:val="28"/>
          <w:rtl/>
          <w:lang w:bidi="fa-IR"/>
        </w:rPr>
        <w:t>ف في ذلك في غير محل</w:t>
      </w:r>
      <w:r>
        <w:rPr>
          <w:rFonts w:cs="Abz-2 (Badr)" w:hint="cs"/>
          <w:color w:val="000000" w:themeColor="text1"/>
          <w:sz w:val="28"/>
          <w:szCs w:val="28"/>
          <w:rtl/>
          <w:lang w:bidi="fa-IR"/>
        </w:rPr>
        <w:t>ّ</w:t>
      </w:r>
      <w:r w:rsidRPr="00ED7F5C">
        <w:rPr>
          <w:rFonts w:cs="Abz-2 (Badr)"/>
          <w:color w:val="000000" w:themeColor="text1"/>
          <w:sz w:val="28"/>
          <w:szCs w:val="28"/>
          <w:rtl/>
          <w:lang w:bidi="fa-IR"/>
        </w:rPr>
        <w:t>ه</w:t>
      </w:r>
      <w:r w:rsidRPr="002D27AB">
        <w:rPr>
          <w:rStyle w:val="FootnoteReference"/>
          <w:rFonts w:cs="Abz-2 (Badr)"/>
          <w:sz w:val="28"/>
          <w:szCs w:val="28"/>
          <w:rtl/>
          <w:lang w:bidi="fa-IR"/>
        </w:rPr>
        <w:footnoteReference w:id="1"/>
      </w:r>
      <w:r w:rsidRPr="00ED7F5C">
        <w:rPr>
          <w:rFonts w:cs="Abz-2 (Badr)"/>
          <w:color w:val="000000" w:themeColor="text1"/>
          <w:sz w:val="28"/>
          <w:szCs w:val="28"/>
          <w:rtl/>
          <w:lang w:bidi="fa-IR"/>
        </w:rPr>
        <w:t>، وتدليس من غير عيب كمسائل هذا الفصل المشتملة على فقد صفات الكمال، وتدليس وعيب كما لو دل</w:t>
      </w:r>
      <w:r>
        <w:rPr>
          <w:rFonts w:cs="Abz-2 (Badr)" w:hint="cs"/>
          <w:color w:val="000000" w:themeColor="text1"/>
          <w:sz w:val="28"/>
          <w:szCs w:val="28"/>
          <w:rtl/>
          <w:lang w:bidi="fa-IR"/>
        </w:rPr>
        <w:t>ّ</w:t>
      </w:r>
      <w:r w:rsidRPr="00ED7F5C">
        <w:rPr>
          <w:rFonts w:cs="Abz-2 (Badr)"/>
          <w:color w:val="000000" w:themeColor="text1"/>
          <w:sz w:val="28"/>
          <w:szCs w:val="28"/>
          <w:rtl/>
          <w:lang w:bidi="fa-IR"/>
        </w:rPr>
        <w:t>س بالعيب، وهو الذي تقد</w:t>
      </w:r>
      <w:r>
        <w:rPr>
          <w:rFonts w:cs="Abz-2 (Badr)" w:hint="cs"/>
          <w:color w:val="000000" w:themeColor="text1"/>
          <w:sz w:val="28"/>
          <w:szCs w:val="28"/>
          <w:rtl/>
          <w:lang w:bidi="fa-IR"/>
        </w:rPr>
        <w:t>ّ</w:t>
      </w:r>
      <w:r w:rsidRPr="00ED7F5C">
        <w:rPr>
          <w:rFonts w:cs="Abz-2 (Badr)"/>
          <w:color w:val="000000" w:themeColor="text1"/>
          <w:sz w:val="28"/>
          <w:szCs w:val="28"/>
          <w:rtl/>
          <w:lang w:bidi="fa-IR"/>
        </w:rPr>
        <w:t>م في الفصل السابق إلا أن</w:t>
      </w:r>
      <w:r>
        <w:rPr>
          <w:rFonts w:cs="Abz-2 (Badr)" w:hint="cs"/>
          <w:color w:val="000000" w:themeColor="text1"/>
          <w:sz w:val="28"/>
          <w:szCs w:val="28"/>
          <w:rtl/>
          <w:lang w:bidi="fa-IR"/>
        </w:rPr>
        <w:t>ّ</w:t>
      </w:r>
      <w:r w:rsidRPr="00ED7F5C">
        <w:rPr>
          <w:rFonts w:cs="Abz-2 (Badr)"/>
          <w:color w:val="000000" w:themeColor="text1"/>
          <w:sz w:val="28"/>
          <w:szCs w:val="28"/>
          <w:rtl/>
          <w:lang w:bidi="fa-IR"/>
        </w:rPr>
        <w:t>ه لا حكم له زائدا</w:t>
      </w:r>
      <w:r>
        <w:rPr>
          <w:rFonts w:cs="Abz-2 (Badr)" w:hint="cs"/>
          <w:color w:val="000000" w:themeColor="text1"/>
          <w:sz w:val="28"/>
          <w:szCs w:val="28"/>
          <w:rtl/>
          <w:lang w:bidi="fa-IR"/>
        </w:rPr>
        <w:t>ً</w:t>
      </w:r>
      <w:r w:rsidRPr="00ED7F5C">
        <w:rPr>
          <w:rFonts w:cs="Abz-2 (Badr)"/>
          <w:color w:val="000000" w:themeColor="text1"/>
          <w:sz w:val="28"/>
          <w:szCs w:val="28"/>
          <w:rtl/>
          <w:lang w:bidi="fa-IR"/>
        </w:rPr>
        <w:t xml:space="preserve"> على خيار العيب إلا في الرجوع بالمهر الذي قد عرفت الكلام فيه</w:t>
      </w:r>
      <w:r>
        <w:rPr>
          <w:rFonts w:cs="Abz-2 (Badr)" w:hint="cs"/>
          <w:color w:val="000000" w:themeColor="text1"/>
          <w:sz w:val="28"/>
          <w:szCs w:val="28"/>
          <w:rtl/>
          <w:lang w:bidi="fa-IR"/>
        </w:rPr>
        <w:t>.</w:t>
      </w:r>
    </w:p>
    <w:p w14:paraId="069D910C" w14:textId="77777777" w:rsidR="000B64A7" w:rsidRDefault="000B64A7" w:rsidP="000B64A7">
      <w:pPr>
        <w:widowControl w:val="0"/>
        <w:bidi/>
        <w:spacing w:after="0" w:line="254" w:lineRule="auto"/>
        <w:ind w:firstLine="284"/>
        <w:jc w:val="both"/>
        <w:rPr>
          <w:rFonts w:cs="Abz-2 (Badr)"/>
          <w:color w:val="000000" w:themeColor="text1"/>
          <w:sz w:val="28"/>
          <w:szCs w:val="28"/>
          <w:rtl/>
          <w:lang w:bidi="fa-IR"/>
        </w:rPr>
      </w:pPr>
      <w:r w:rsidRPr="00ED7F5C">
        <w:rPr>
          <w:rFonts w:cs="Abz-2 (Badr)"/>
          <w:color w:val="000000" w:themeColor="text1"/>
          <w:sz w:val="28"/>
          <w:szCs w:val="28"/>
          <w:rtl/>
          <w:lang w:bidi="fa-IR"/>
        </w:rPr>
        <w:t>وأم</w:t>
      </w:r>
      <w:r>
        <w:rPr>
          <w:rFonts w:cs="Abz-2 (Badr)" w:hint="cs"/>
          <w:color w:val="000000" w:themeColor="text1"/>
          <w:sz w:val="28"/>
          <w:szCs w:val="28"/>
          <w:rtl/>
          <w:lang w:bidi="fa-IR"/>
        </w:rPr>
        <w:t>ّ</w:t>
      </w:r>
      <w:r w:rsidRPr="00ED7F5C">
        <w:rPr>
          <w:rFonts w:cs="Abz-2 (Badr)"/>
          <w:color w:val="000000" w:themeColor="text1"/>
          <w:sz w:val="28"/>
          <w:szCs w:val="28"/>
          <w:rtl/>
          <w:lang w:bidi="fa-IR"/>
        </w:rPr>
        <w:t>ا احتمال إثبات الخيار من جهته فهو واضح الفساد، ضرورة ظهور النص</w:t>
      </w:r>
      <w:r>
        <w:rPr>
          <w:rFonts w:cs="Abz-2 (Badr)" w:hint="cs"/>
          <w:color w:val="000000" w:themeColor="text1"/>
          <w:sz w:val="28"/>
          <w:szCs w:val="28"/>
          <w:rtl/>
          <w:lang w:bidi="fa-IR"/>
        </w:rPr>
        <w:t>ّ</w:t>
      </w:r>
      <w:r w:rsidRPr="00ED7F5C">
        <w:rPr>
          <w:rFonts w:cs="Abz-2 (Badr)"/>
          <w:color w:val="000000" w:themeColor="text1"/>
          <w:sz w:val="28"/>
          <w:szCs w:val="28"/>
          <w:rtl/>
          <w:lang w:bidi="fa-IR"/>
        </w:rPr>
        <w:t xml:space="preserve"> والفتوى في ات</w:t>
      </w:r>
      <w:r>
        <w:rPr>
          <w:rFonts w:cs="Abz-2 (Badr)" w:hint="cs"/>
          <w:color w:val="000000" w:themeColor="text1"/>
          <w:sz w:val="28"/>
          <w:szCs w:val="28"/>
          <w:rtl/>
          <w:lang w:bidi="fa-IR"/>
        </w:rPr>
        <w:t>ّ</w:t>
      </w:r>
      <w:r w:rsidRPr="00ED7F5C">
        <w:rPr>
          <w:rFonts w:cs="Abz-2 (Badr)"/>
          <w:color w:val="000000" w:themeColor="text1"/>
          <w:sz w:val="28"/>
          <w:szCs w:val="28"/>
          <w:rtl/>
          <w:lang w:bidi="fa-IR"/>
        </w:rPr>
        <w:t>حاد جهة الخيار بالتدليس بالعيب الذي قد عرفت أن</w:t>
      </w:r>
      <w:r>
        <w:rPr>
          <w:rFonts w:cs="Abz-2 (Badr)" w:hint="cs"/>
          <w:color w:val="000000" w:themeColor="text1"/>
          <w:sz w:val="28"/>
          <w:szCs w:val="28"/>
          <w:rtl/>
          <w:lang w:bidi="fa-IR"/>
        </w:rPr>
        <w:t>ّ</w:t>
      </w:r>
      <w:r w:rsidRPr="00ED7F5C">
        <w:rPr>
          <w:rFonts w:cs="Abz-2 (Badr)"/>
          <w:color w:val="000000" w:themeColor="text1"/>
          <w:sz w:val="28"/>
          <w:szCs w:val="28"/>
          <w:rtl/>
          <w:lang w:bidi="fa-IR"/>
        </w:rPr>
        <w:t>ه يتحق</w:t>
      </w:r>
      <w:r>
        <w:rPr>
          <w:rFonts w:cs="Abz-2 (Badr)" w:hint="cs"/>
          <w:color w:val="000000" w:themeColor="text1"/>
          <w:sz w:val="28"/>
          <w:szCs w:val="28"/>
          <w:rtl/>
          <w:lang w:bidi="fa-IR"/>
        </w:rPr>
        <w:t>ّ</w:t>
      </w:r>
      <w:r w:rsidRPr="00ED7F5C">
        <w:rPr>
          <w:rFonts w:cs="Abz-2 (Badr)"/>
          <w:color w:val="000000" w:themeColor="text1"/>
          <w:sz w:val="28"/>
          <w:szCs w:val="28"/>
          <w:rtl/>
          <w:lang w:bidi="fa-IR"/>
        </w:rPr>
        <w:t>ق بمجر</w:t>
      </w:r>
      <w:r>
        <w:rPr>
          <w:rFonts w:cs="Abz-2 (Badr)" w:hint="cs"/>
          <w:color w:val="000000" w:themeColor="text1"/>
          <w:sz w:val="28"/>
          <w:szCs w:val="28"/>
          <w:rtl/>
          <w:lang w:bidi="fa-IR"/>
        </w:rPr>
        <w:t>ّ</w:t>
      </w:r>
      <w:r w:rsidRPr="00ED7F5C">
        <w:rPr>
          <w:rFonts w:cs="Abz-2 (Badr)"/>
          <w:color w:val="000000" w:themeColor="text1"/>
          <w:sz w:val="28"/>
          <w:szCs w:val="28"/>
          <w:rtl/>
          <w:lang w:bidi="fa-IR"/>
        </w:rPr>
        <w:t>د السكوت عن الإخبار بالعيب مع العلم به الذي لا يصح</w:t>
      </w:r>
      <w:r>
        <w:rPr>
          <w:rFonts w:cs="Abz-2 (Badr)" w:hint="cs"/>
          <w:color w:val="000000" w:themeColor="text1"/>
          <w:sz w:val="28"/>
          <w:szCs w:val="28"/>
          <w:rtl/>
          <w:lang w:bidi="fa-IR"/>
        </w:rPr>
        <w:t>ّ</w:t>
      </w:r>
      <w:r w:rsidRPr="00ED7F5C">
        <w:rPr>
          <w:rFonts w:cs="Abz-2 (Badr)"/>
          <w:color w:val="000000" w:themeColor="text1"/>
          <w:sz w:val="28"/>
          <w:szCs w:val="28"/>
          <w:rtl/>
          <w:lang w:bidi="fa-IR"/>
        </w:rPr>
        <w:t xml:space="preserve"> فيه إسقاط الخيار من جهة العيب وبقاؤه من جهة الكتمان، بل النصوص صريحة في فساده كما هو واضح.</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65D2306E" w14:textId="77777777" w:rsidR="000B64A7" w:rsidRDefault="000B64A7" w:rsidP="000B64A7">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در فرمايشات ايشان چند اشکال وجود دارد:</w:t>
      </w:r>
    </w:p>
    <w:p w14:paraId="4B98D935"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اولاً: منشأ اشکال محقق ثانی در مواردی که عيب خفی باشد اين است که همان گونه که سابقاً بيان شد، در غير از جنون و عيوبی که سبب عدم امکان وطی می</w:t>
      </w:r>
      <w:r>
        <w:rPr>
          <w:rFonts w:cs="Abz-2 (Badr)"/>
          <w:color w:val="000000" w:themeColor="text1"/>
          <w:sz w:val="28"/>
          <w:szCs w:val="28"/>
          <w:rtl/>
          <w:lang w:bidi="fa-IR"/>
        </w:rPr>
        <w:softHyphen/>
      </w:r>
      <w:r>
        <w:rPr>
          <w:rFonts w:cs="Abz-2 (Badr)" w:hint="cs"/>
          <w:color w:val="000000" w:themeColor="text1"/>
          <w:sz w:val="28"/>
          <w:szCs w:val="28"/>
          <w:rtl/>
          <w:lang w:bidi="fa-IR"/>
        </w:rPr>
        <w:t>شوند ـ مثل: عنن، جب، قرن، رتق و عفل ـ ظاهر اخبار اين است که اخذ به خيار از باب تدليس است نه از باب عيب؛ فلذا چنانچه عيب خفی باشد و تدليس منتفی گردد، اخبار دلالتی بر اخذ به خيار ندارند ولی کلمات اصحاب در اخذ به خيار در آن عيوب مطلق است.</w:t>
      </w:r>
    </w:p>
    <w:p w14:paraId="41D199A6"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ثانياً: موردی که عيب باشد وتدليس نباشد، دارای دو صورت است: 1 ـ عيب از عيوبی باشد که بدون تدليس نيز مستلزم حق فسخ است مثل مواردی که در اشکال اول ذکر شد. 2 ـ عيب از عيوبی باشد که بدون تدليس به مجرد وجود آنها نمی</w:t>
      </w:r>
      <w:r>
        <w:rPr>
          <w:rFonts w:cs="Abz-2 (Badr)"/>
          <w:color w:val="000000" w:themeColor="text1"/>
          <w:sz w:val="28"/>
          <w:szCs w:val="28"/>
          <w:rtl/>
          <w:lang w:bidi="fa-IR"/>
        </w:rPr>
        <w:softHyphen/>
      </w:r>
      <w:r>
        <w:rPr>
          <w:rFonts w:cs="Abz-2 (Badr)" w:hint="cs"/>
          <w:color w:val="000000" w:themeColor="text1"/>
          <w:sz w:val="28"/>
          <w:szCs w:val="28"/>
          <w:rtl/>
          <w:lang w:bidi="fa-IR"/>
        </w:rPr>
        <w:t>توان نکاح را فسخ کرد که در اين صورت حق فسخ وجود نخواهد داشت.</w:t>
      </w:r>
    </w:p>
    <w:p w14:paraId="21005584"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ثالثاً: مسائل اين فصل همان گونه که در ابتدای بحث گذشت فقط مربوط به تدليس با صفات کمال نيست، بلکه شامل تدليس با عيب نيز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p w14:paraId="24DD651F"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رابعاً: تدليس با عيب نيز دارای دو صورت است: 1 ـ تدليس با عيبی که در اخبار تصريح به حق فسخ به واسطه آن عيوب شده است. 2 ـ تدليس با عيبی که دليلی برای حق فسخ به مجرد وجود آنها نيست.</w:t>
      </w:r>
    </w:p>
    <w:p w14:paraId="5C7D2AA1"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در صورت دوم وجهی برای فسخ بجز تدليس نيست و در نتيجه در صورت انتفاء آن ـ مثل جهل صاحب عيب به وجود آن در وی به سبب خفی بودن آن ـ طرف مقابل حق فسخ نخواهد داشت.</w:t>
      </w:r>
    </w:p>
    <w:p w14:paraId="48D9508F"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صورت اول ـ اعم از اين که مدعای ما مبنی بر انحصار اين عيوب در آنچه که در اشکال اول گذشت پذيرفته شود و يا قائل به شمول اين موارد بر عيوبی بيشتر از آنها موارد گرديم ـ چنانچه تدليس نيز وجود داشته باشد، بعيد نيست گفته شود که حق فسخ از دو جنبه ثابت است، از جهت عيب و از جهت تدليس. بنابر اين با وجود اسقاط يا سقوط حق فسخ از يکی از اين دو جهت، می</w:t>
      </w:r>
      <w:r>
        <w:rPr>
          <w:rFonts w:cs="Abz-2 (Badr)"/>
          <w:color w:val="000000" w:themeColor="text1"/>
          <w:sz w:val="28"/>
          <w:szCs w:val="28"/>
          <w:rtl/>
          <w:lang w:bidi="fa-IR"/>
        </w:rPr>
        <w:softHyphen/>
      </w:r>
      <w:r>
        <w:rPr>
          <w:rFonts w:cs="Abz-2 (Badr)" w:hint="cs"/>
          <w:color w:val="000000" w:themeColor="text1"/>
          <w:sz w:val="28"/>
          <w:szCs w:val="28"/>
          <w:rtl/>
          <w:lang w:bidi="fa-IR"/>
        </w:rPr>
        <w:t>توان به خيار از جهت ديگر اخذ نمود.</w:t>
      </w:r>
    </w:p>
    <w:p w14:paraId="53F45145"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مثلاً چنانچه زن با مرد در ضمن نکاح شرط کرده باشد که عنن نداشته باشد و مرد نيز با وجود علم به عنن خود، شرط را قبول کرده باشد و نکاح مبتنی بر اين شرط واقع شده باشد، چنانچه بعداً معلوم شود که زوج عنن دارد و زوجه به حاکم رجوع کرد و حاکم به زوج يک سال برای وطی مهلت داد و در اين مدّت زوج قدرت بر وطی پيدا نمود نيز هرچند برای زوجه امکان اخذ به خيار از باب عنن وجود ندارد اما بعيد نيست گفته شود که از جهت تدليس می</w:t>
      </w:r>
      <w:r>
        <w:rPr>
          <w:rFonts w:cs="Abz-2 (Badr)"/>
          <w:color w:val="000000" w:themeColor="text1"/>
          <w:sz w:val="28"/>
          <w:szCs w:val="28"/>
          <w:rtl/>
          <w:lang w:bidi="fa-IR"/>
        </w:rPr>
        <w:softHyphen/>
      </w:r>
      <w:r>
        <w:rPr>
          <w:rFonts w:cs="Abz-2 (Badr)" w:hint="cs"/>
          <w:color w:val="000000" w:themeColor="text1"/>
          <w:sz w:val="28"/>
          <w:szCs w:val="28"/>
          <w:rtl/>
          <w:lang w:bidi="fa-IR"/>
        </w:rPr>
        <w:t>تواند نکاح را فسخ کند.</w:t>
      </w:r>
    </w:p>
    <w:p w14:paraId="5EDE9D4E" w14:textId="77777777" w:rsidR="000B64A7" w:rsidRDefault="000B64A7" w:rsidP="000B64A7">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بلکه در همين مثال اگر زن بعد از نکاح به گمان اين که عنن مرد بعد از نکاح و قبل از وطی عارض شده است، به عنن زوج رضايت بدهد و سپس بفهمد که از حين عقد عنن وجود داشته و تدليس محقق شده، می</w:t>
      </w:r>
      <w:r>
        <w:rPr>
          <w:rFonts w:cs="Abz-2 (Badr)"/>
          <w:color w:val="000000" w:themeColor="text1"/>
          <w:sz w:val="28"/>
          <w:szCs w:val="28"/>
          <w:rtl/>
          <w:lang w:bidi="fa-IR"/>
        </w:rPr>
        <w:softHyphen/>
      </w:r>
      <w:r>
        <w:rPr>
          <w:rFonts w:cs="Abz-2 (Badr)" w:hint="cs"/>
          <w:color w:val="000000" w:themeColor="text1"/>
          <w:sz w:val="28"/>
          <w:szCs w:val="28"/>
          <w:rtl/>
          <w:lang w:bidi="fa-IR"/>
        </w:rPr>
        <w:t>تواند از باب تدليس اخذ به خيار فسخ نمايد.</w:t>
      </w:r>
    </w:p>
    <w:p w14:paraId="1D459FFD" w14:textId="77777777" w:rsidR="000B64A7" w:rsidRDefault="000B64A7" w:rsidP="008C3DDD">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چنانچه اسقاط حق فسخ از يک جهت ملازم با اسقاط آن از جهت ديگر باشد ـ مثل اين که در مثال قبلی زوجه با علم به وجود عنن در حين عقد به زوج بگويد که راضی به عنن تو هستم و نکاح را به اين واسطه فسخ نمی</w:t>
      </w:r>
      <w:r>
        <w:rPr>
          <w:rFonts w:cs="Abz-2 (Badr)"/>
          <w:color w:val="000000" w:themeColor="text1"/>
          <w:sz w:val="28"/>
          <w:szCs w:val="28"/>
          <w:rtl/>
          <w:lang w:bidi="fa-IR"/>
        </w:rPr>
        <w:softHyphen/>
      </w:r>
      <w:r>
        <w:rPr>
          <w:rFonts w:cs="Abz-2 (Badr)" w:hint="cs"/>
          <w:color w:val="000000" w:themeColor="text1"/>
          <w:sz w:val="28"/>
          <w:szCs w:val="28"/>
          <w:rtl/>
          <w:lang w:bidi="fa-IR"/>
        </w:rPr>
        <w:t>کنم ـ در اين صورت واضح است که اسقاط حق از جهت اول سبب سقوط آن از جهت دوم نيز می</w:t>
      </w:r>
      <w:r>
        <w:rPr>
          <w:rFonts w:cs="Abz-2 (Badr)"/>
          <w:color w:val="000000" w:themeColor="text1"/>
          <w:sz w:val="28"/>
          <w:szCs w:val="28"/>
          <w:rtl/>
          <w:lang w:bidi="fa-IR"/>
        </w:rPr>
        <w:softHyphen/>
      </w:r>
      <w:r>
        <w:rPr>
          <w:rFonts w:cs="Abz-2 (Badr)" w:hint="cs"/>
          <w:color w:val="000000" w:themeColor="text1"/>
          <w:sz w:val="28"/>
          <w:szCs w:val="28"/>
          <w:rtl/>
          <w:lang w:bidi="fa-IR"/>
        </w:rPr>
        <w:t>شود.</w:t>
      </w:r>
    </w:p>
    <w:bookmarkEnd w:id="0"/>
    <w:sectPr w:rsidR="000B64A7">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713DCA06" w14:textId="77777777" w:rsidR="000B64A7" w:rsidRPr="002D27AB" w:rsidRDefault="000B64A7" w:rsidP="000B64A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همان،ص257.</w:t>
      </w:r>
    </w:p>
  </w:footnote>
  <w:footnote w:id="2">
    <w:p w14:paraId="6A7C3FB0" w14:textId="77777777" w:rsidR="000B64A7" w:rsidRPr="002D27AB" w:rsidRDefault="000B64A7" w:rsidP="000B64A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جواهر،ج31،ص650.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B64A7"/>
    <w:rsid w:val="000E1CDA"/>
    <w:rsid w:val="000F2E50"/>
    <w:rsid w:val="00101B80"/>
    <w:rsid w:val="001050A2"/>
    <w:rsid w:val="001420FB"/>
    <w:rsid w:val="00145844"/>
    <w:rsid w:val="00150806"/>
    <w:rsid w:val="001922E4"/>
    <w:rsid w:val="001D1305"/>
    <w:rsid w:val="001D4A4D"/>
    <w:rsid w:val="0029688A"/>
    <w:rsid w:val="002A09CF"/>
    <w:rsid w:val="002C7D85"/>
    <w:rsid w:val="002D27AB"/>
    <w:rsid w:val="002E0246"/>
    <w:rsid w:val="00331A5F"/>
    <w:rsid w:val="003A199D"/>
    <w:rsid w:val="00487869"/>
    <w:rsid w:val="00521235"/>
    <w:rsid w:val="005327C7"/>
    <w:rsid w:val="005532E0"/>
    <w:rsid w:val="005751F1"/>
    <w:rsid w:val="005B6905"/>
    <w:rsid w:val="0060689C"/>
    <w:rsid w:val="00625979"/>
    <w:rsid w:val="006C580F"/>
    <w:rsid w:val="0070259D"/>
    <w:rsid w:val="00703021"/>
    <w:rsid w:val="00706DD2"/>
    <w:rsid w:val="007374CF"/>
    <w:rsid w:val="00750FB1"/>
    <w:rsid w:val="008869B4"/>
    <w:rsid w:val="008C3DDD"/>
    <w:rsid w:val="008F3842"/>
    <w:rsid w:val="00901208"/>
    <w:rsid w:val="009251BE"/>
    <w:rsid w:val="00940DC9"/>
    <w:rsid w:val="009A3CA7"/>
    <w:rsid w:val="009C1C9D"/>
    <w:rsid w:val="009D42F6"/>
    <w:rsid w:val="00A17467"/>
    <w:rsid w:val="00A62A68"/>
    <w:rsid w:val="00A75FB0"/>
    <w:rsid w:val="00A96A24"/>
    <w:rsid w:val="00AB148E"/>
    <w:rsid w:val="00BB28BF"/>
    <w:rsid w:val="00C004FA"/>
    <w:rsid w:val="00C01832"/>
    <w:rsid w:val="00C8378C"/>
    <w:rsid w:val="00C9572F"/>
    <w:rsid w:val="00CA0BC4"/>
    <w:rsid w:val="00CD52E6"/>
    <w:rsid w:val="00D22A70"/>
    <w:rsid w:val="00D663C8"/>
    <w:rsid w:val="00D97411"/>
    <w:rsid w:val="00E214D7"/>
    <w:rsid w:val="00E2487C"/>
    <w:rsid w:val="00E6533A"/>
    <w:rsid w:val="00E77A81"/>
    <w:rsid w:val="00ED7F5C"/>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28</cp:revision>
  <cp:lastPrinted>2022-10-14T16:26:00Z</cp:lastPrinted>
  <dcterms:created xsi:type="dcterms:W3CDTF">2022-10-08T06:35:00Z</dcterms:created>
  <dcterms:modified xsi:type="dcterms:W3CDTF">2022-10-15T07:08:00Z</dcterms:modified>
</cp:coreProperties>
</file>