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77777777" w:rsidR="00901208" w:rsidRPr="00C27AEE" w:rsidRDefault="00901208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7893726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70259D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5327C7">
        <w:rPr>
          <w:rFonts w:cs="B Mitra" w:hint="cs"/>
          <w:b/>
          <w:bCs/>
          <w:sz w:val="32"/>
          <w:szCs w:val="32"/>
          <w:rtl/>
          <w:lang w:bidi="fa-IR"/>
        </w:rPr>
        <w:t>9</w:t>
      </w:r>
      <w:r w:rsidR="000577BF">
        <w:rPr>
          <w:rFonts w:cs="B Mitra" w:hint="cs"/>
          <w:b/>
          <w:bCs/>
          <w:sz w:val="32"/>
          <w:szCs w:val="32"/>
          <w:rtl/>
          <w:lang w:bidi="fa-IR"/>
        </w:rPr>
        <w:t>3</w:t>
      </w:r>
    </w:p>
    <w:p w14:paraId="2B5B1F18" w14:textId="77777777" w:rsidR="000577BF" w:rsidRPr="009B5245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السيّد السيستاني في منهاجه: «</w:t>
      </w:r>
      <w:r w:rsidRPr="009B5245">
        <w:rPr>
          <w:rFonts w:cs="Abz-2 (Badr)"/>
          <w:sz w:val="28"/>
          <w:szCs w:val="28"/>
          <w:rtl/>
          <w:lang w:bidi="fa-IR"/>
        </w:rPr>
        <w:t xml:space="preserve">مسألة ٢٨١: يثبت في النكاح خيار التدليس في غير العيوب التي مرّ 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9B5245">
        <w:rPr>
          <w:rFonts w:cs="Abz-2 (Badr)"/>
          <w:sz w:val="28"/>
          <w:szCs w:val="28"/>
          <w:rtl/>
          <w:lang w:bidi="fa-IR"/>
        </w:rPr>
        <w:t>نه يثبت بسببها خيار العيب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9B5245">
        <w:rPr>
          <w:rFonts w:cs="Abz-2 (Badr)"/>
          <w:sz w:val="28"/>
          <w:szCs w:val="28"/>
          <w:rtl/>
          <w:lang w:bidi="fa-IR"/>
        </w:rPr>
        <w:t>عند التست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>ر على‌ عيب في أحد الزوجين، سواء أكان نقصاً عن الخلقة الأصلي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 xml:space="preserve">ة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9B5245">
        <w:rPr>
          <w:rFonts w:cs="Abz-2 (Badr)"/>
          <w:sz w:val="28"/>
          <w:szCs w:val="28"/>
          <w:rtl/>
          <w:lang w:bidi="fa-IR"/>
        </w:rPr>
        <w:t>كالعور</w:t>
      </w:r>
      <w:r>
        <w:rPr>
          <w:rFonts w:cs="Abz-2 (Badr)" w:hint="cs"/>
          <w:sz w:val="28"/>
          <w:szCs w:val="28"/>
          <w:rtl/>
          <w:lang w:bidi="fa-IR"/>
        </w:rPr>
        <w:t xml:space="preserve"> ـ</w:t>
      </w:r>
      <w:r w:rsidRPr="009B5245">
        <w:rPr>
          <w:rFonts w:cs="Abz-2 (Badr)"/>
          <w:sz w:val="28"/>
          <w:szCs w:val="28"/>
          <w:rtl/>
          <w:lang w:bidi="fa-IR"/>
        </w:rPr>
        <w:t xml:space="preserve"> أو زيادة عليها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9B5245">
        <w:rPr>
          <w:rFonts w:cs="Abz-2 (Badr)"/>
          <w:sz w:val="28"/>
          <w:szCs w:val="28"/>
          <w:rtl/>
          <w:lang w:bidi="fa-IR"/>
        </w:rPr>
        <w:t>كاللحية للمرأة</w:t>
      </w:r>
      <w:r>
        <w:rPr>
          <w:rFonts w:cs="Abz-2 (Badr)" w:hint="cs"/>
          <w:sz w:val="28"/>
          <w:szCs w:val="28"/>
          <w:rtl/>
          <w:lang w:bidi="fa-IR"/>
        </w:rPr>
        <w:t xml:space="preserve"> ـ</w:t>
      </w:r>
      <w:r w:rsidRPr="009B5245">
        <w:rPr>
          <w:rFonts w:cs="Abz-2 (Badr)"/>
          <w:sz w:val="28"/>
          <w:szCs w:val="28"/>
          <w:rtl/>
          <w:lang w:bidi="fa-IR"/>
        </w:rPr>
        <w:t xml:space="preserve"> أو عند الإيهام بوجود صفة كمال لا وجود لها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9B5245">
        <w:rPr>
          <w:rFonts w:cs="Abz-2 (Badr)"/>
          <w:sz w:val="28"/>
          <w:szCs w:val="28"/>
          <w:rtl/>
          <w:lang w:bidi="fa-IR"/>
        </w:rPr>
        <w:t xml:space="preserve"> كالشرف والنسب والجمال والبكارة ونحوها. </w:t>
      </w:r>
    </w:p>
    <w:p w14:paraId="61C4B1CF" w14:textId="77777777" w:rsidR="000577BF" w:rsidRPr="009B5245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9B5245">
        <w:rPr>
          <w:rFonts w:cs="Abz-2 (Badr)"/>
          <w:sz w:val="28"/>
          <w:szCs w:val="28"/>
          <w:rtl/>
          <w:lang w:bidi="fa-IR"/>
        </w:rPr>
        <w:t>مسألة ٢٨٢: يتحق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>ق التدليس الموجب للخيار فيما إذا كان عدم العيب أو وجود صفة الكمال مذكوراً في العقد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9B5245">
        <w:rPr>
          <w:rFonts w:cs="Abz-2 (Badr)"/>
          <w:sz w:val="28"/>
          <w:szCs w:val="28"/>
          <w:rtl/>
          <w:lang w:bidi="fa-IR"/>
        </w:rPr>
        <w:t>بنحو الاشتراط أو التوصيف، ويلحق بهما توصيف الزوج أو الزوجة بصفة الكمال أو عدم العيب أو إراءته مت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>صفاً بأحدهما قبل العقد عند الخطبة والمقاولة ثم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 xml:space="preserve"> إيقاع العقد مبني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 xml:space="preserve">اً عليه. </w:t>
      </w:r>
    </w:p>
    <w:p w14:paraId="51E64716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lang w:bidi="fa-IR"/>
        </w:rPr>
      </w:pPr>
      <w:r w:rsidRPr="009B5245">
        <w:rPr>
          <w:rFonts w:cs="Abz-2 (Badr)"/>
          <w:sz w:val="28"/>
          <w:szCs w:val="28"/>
          <w:rtl/>
          <w:lang w:bidi="fa-IR"/>
        </w:rPr>
        <w:t>ولا يتحق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>ق بمجر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9B5245">
        <w:rPr>
          <w:rFonts w:cs="Abz-2 (Badr)"/>
          <w:sz w:val="28"/>
          <w:szCs w:val="28"/>
          <w:rtl/>
          <w:lang w:bidi="fa-IR"/>
        </w:rPr>
        <w:t>د سكوت الزوجة ووليّها مثلاً عن العيب مع اعتقاد الزوج عدم وجوده في غير العيوب الموجبة للخيار، وأولى بذلك سكوتهما عن فقد صفة الكمال مع اعتقاد الزوج وجودها.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"/>
      </w:r>
    </w:p>
    <w:p w14:paraId="0A41FE9F" w14:textId="3FCF6178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lang w:bidi="fa-IR"/>
        </w:rPr>
      </w:pPr>
      <w:bookmarkStart w:id="0" w:name="_Hlk116244902"/>
      <w:r>
        <w:rPr>
          <w:rFonts w:cs="Abz-2 (Badr)" w:hint="cs"/>
          <w:sz w:val="28"/>
          <w:szCs w:val="28"/>
          <w:rtl/>
          <w:lang w:bidi="fa-IR"/>
        </w:rPr>
        <w:t>اما اشکالی نيست که تدليس با فعل خود زوج يا زوجه نسبت به اخبار يا اخفاء با علم آنها به واقع، محقق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شود. همچنين اگر فرد ديگری ـ اعم از ولی و غير او ـ متولی امر نکاح باشد و کتمان واقع توسط وی اتفاق بيفتد، اشکالی در استناد تدليس به وی وجود ندارد همچنان که مفاد برخی از اخبار نيز ناظر به همين مطلب است.</w:t>
      </w:r>
    </w:p>
    <w:p w14:paraId="11DB1DAD" w14:textId="4F833AA6" w:rsidR="0007062A" w:rsidRPr="00C004FA" w:rsidRDefault="0007062A" w:rsidP="0007062A">
      <w:pPr>
        <w:widowControl w:val="0"/>
        <w:bidi/>
        <w:spacing w:after="0" w:line="262" w:lineRule="auto"/>
        <w:ind w:firstLine="284"/>
        <w:jc w:val="both"/>
        <w:rPr>
          <w:rFonts w:cs="Abz-2 (Badr)" w:hint="cs"/>
          <w:spacing w:val="-2"/>
          <w:sz w:val="28"/>
          <w:szCs w:val="28"/>
          <w:rtl/>
          <w:lang w:bidi="fa-IR"/>
        </w:rPr>
      </w:pPr>
      <w:bookmarkStart w:id="1" w:name="_Hlk116377526"/>
      <w:r w:rsidRPr="00C004FA">
        <w:rPr>
          <w:rFonts w:cs="Abz-2 (Badr)" w:hint="cs"/>
          <w:spacing w:val="-2"/>
          <w:sz w:val="28"/>
          <w:szCs w:val="28"/>
          <w:rtl/>
          <w:lang w:bidi="fa-IR"/>
        </w:rPr>
        <w:t>ولی چنانچه زوج يا زوجه به واسطه مدعای کسی که دخيل در امر نکاح نيست و متولی آن از جانب طرف ديگر محسوب نمی</w:t>
      </w:r>
      <w:r w:rsidRPr="00C004FA">
        <w:rPr>
          <w:rFonts w:cs="Abz-2 (Badr)"/>
          <w:spacing w:val="-2"/>
          <w:sz w:val="28"/>
          <w:szCs w:val="28"/>
          <w:rtl/>
          <w:lang w:bidi="fa-IR"/>
        </w:rPr>
        <w:softHyphen/>
      </w:r>
      <w:r w:rsidRPr="00C004FA">
        <w:rPr>
          <w:rFonts w:cs="Abz-2 (Badr)" w:hint="cs"/>
          <w:spacing w:val="-2"/>
          <w:sz w:val="28"/>
          <w:szCs w:val="28"/>
          <w:rtl/>
          <w:lang w:bidi="fa-IR"/>
        </w:rPr>
        <w:t xml:space="preserve">شود، در مورد عدم عيب يا وجود وصف کمال اغراء به جهل شود و مبتنی بر گمان خود مبنی بر وجود آن وصف يا عدم آن نقص ازدواج نمايد </w:t>
      </w:r>
      <w:r w:rsidR="00C004FA" w:rsidRPr="00C004FA">
        <w:rPr>
          <w:rFonts w:cs="Abz-2 (Badr)" w:hint="cs"/>
          <w:spacing w:val="-2"/>
          <w:sz w:val="28"/>
          <w:szCs w:val="28"/>
          <w:rtl/>
          <w:lang w:bidi="fa-IR"/>
        </w:rPr>
        <w:t>و</w:t>
      </w:r>
      <w:r w:rsidRPr="00C004FA">
        <w:rPr>
          <w:rFonts w:cs="Abz-2 (Badr)" w:hint="cs"/>
          <w:spacing w:val="-2"/>
          <w:sz w:val="28"/>
          <w:szCs w:val="28"/>
          <w:rtl/>
          <w:lang w:bidi="fa-IR"/>
        </w:rPr>
        <w:t xml:space="preserve"> عقد نيز بنابر ارتکاز عرفی مبنی بر وجود آن وصف يا عدم آن نقص نباشد، تدليسی محقق نشده است، حتی اگر طرف ديگر بداند که وی به گمان چنين مطلبی و مشروط به آن عقد را منعقد می</w:t>
      </w:r>
      <w:r w:rsidRPr="00C004FA">
        <w:rPr>
          <w:rFonts w:cs="Abz-2 (Badr)"/>
          <w:spacing w:val="-2"/>
          <w:sz w:val="28"/>
          <w:szCs w:val="28"/>
          <w:rtl/>
          <w:lang w:bidi="fa-IR"/>
        </w:rPr>
        <w:softHyphen/>
      </w:r>
      <w:r w:rsidRPr="00C004FA">
        <w:rPr>
          <w:rFonts w:cs="Abz-2 (Badr)" w:hint="cs"/>
          <w:spacing w:val="-2"/>
          <w:sz w:val="28"/>
          <w:szCs w:val="28"/>
          <w:rtl/>
          <w:lang w:bidi="fa-IR"/>
        </w:rPr>
        <w:t>نمايد.</w:t>
      </w:r>
    </w:p>
    <w:bookmarkEnd w:id="1"/>
    <w:p w14:paraId="20D1D542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ولی برخی از مواردی که در کلام علامه در قواعد گذشت، نيازمند بررسی بيشتر است که در ضمن فروعی به بررسی آنها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پردازيم.</w:t>
      </w:r>
    </w:p>
    <w:p w14:paraId="2CEF00FF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</w:p>
    <w:p w14:paraId="6805FD11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B2325">
        <w:rPr>
          <w:rFonts w:cs="Abz-2 (Badr)" w:hint="cs"/>
          <w:color w:val="000000" w:themeColor="text1"/>
          <w:sz w:val="28"/>
          <w:szCs w:val="28"/>
          <w:rtl/>
          <w:lang w:bidi="fa-IR"/>
        </w:rPr>
        <w:t>فرع اول: اخبار سفير</w:t>
      </w:r>
    </w:p>
    <w:p w14:paraId="48CA6B7D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در کلام علامه گذشت که در تحقق تدليس به واسطه اخبار سفير، اشکال دارند.</w:t>
      </w:r>
    </w:p>
    <w:p w14:paraId="188A6CFC" w14:textId="77777777" w:rsidR="000577BF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المحقّق الثاني في وجهه: «إ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السفير في كلام المصن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ف إم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ا أن يريد به الأجنبي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المتول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ي للعقد بين الزوجين، أو الأجنبي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lastRenderedPageBreak/>
        <w:t>الذي كان سفيرا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بينهما والمتول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ي للعقد غيره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</w:t>
      </w:r>
    </w:p>
    <w:p w14:paraId="1183B978" w14:textId="77777777" w:rsidR="000577BF" w:rsidRPr="00CB2325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فإن أراد به الأو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ل لم يكن للإشكال وجه، لأن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النص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وكلام الأصحاب صريحان في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العاقد على ذات العيب يغرم مهرها إلا إذا لم يكن عالما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بحالها فالغرم عليها، وإن أراد به الثاني فالغرم على العاقد لا عليه. </w:t>
      </w:r>
    </w:p>
    <w:p w14:paraId="056EF3BC" w14:textId="77777777" w:rsidR="000577BF" w:rsidRPr="00CB2325" w:rsidRDefault="000577BF" w:rsidP="005B6905">
      <w:pPr>
        <w:widowControl w:val="0"/>
        <w:bidi/>
        <w:spacing w:after="0" w:line="26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نعم يجيء الإشكال في مثل ما إذا كان العاقد بعيدا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عن العلم بأحوال الزوجة والواسطة عالما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بأحوالها، فإن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ه حينئذ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ٍ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غار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فيغرم، وظاهر النص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ينفي عنه الغرم، لتعل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قه بالمنكح. </w:t>
      </w:r>
    </w:p>
    <w:p w14:paraId="0C891D2F" w14:textId="77777777" w:rsidR="000577BF" w:rsidRPr="00CB2325" w:rsidRDefault="000577BF" w:rsidP="005B6905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ومثله ما لو أخبر السفير الول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ي بأن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ه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أ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علم الزوج بالعيب مثلا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وكان كاذبا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، فإن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الإشكال في تغريمه من حيث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إ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ه غار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، ومن حيث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إ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الولي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مفرط في الركون إلى</w:t>
      </w:r>
      <w:r w:rsidRPr="00CB232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خبره، هذا حكم العيب. </w:t>
      </w:r>
    </w:p>
    <w:p w14:paraId="03315C29" w14:textId="77777777" w:rsidR="000577BF" w:rsidRDefault="000577BF" w:rsidP="005B6905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وأم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ا حكم النقص فإن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الغرم على من وصف المرأة بالحر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ة فظهرت أمة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وعلى من شرط البكارة فظهر ضد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ها، ولا تفاوت بين كونه ولي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أو أجنبي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CB2325">
        <w:rPr>
          <w:rFonts w:cs="Abz-2 (Badr)"/>
          <w:color w:val="000000" w:themeColor="text1"/>
          <w:sz w:val="28"/>
          <w:szCs w:val="28"/>
          <w:rtl/>
          <w:lang w:bidi="fa-IR"/>
        </w:rPr>
        <w:t>.</w:t>
      </w:r>
      <w:r w:rsidRPr="00CB2325">
        <w:rPr>
          <w:rFonts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2"/>
      </w:r>
    </w:p>
    <w:p w14:paraId="17A93A55" w14:textId="77777777" w:rsidR="000577BF" w:rsidRDefault="000577BF" w:rsidP="005B6905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آنچه که ايشان فرموده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 مبنی بر اين که مدلّس عاقد است، مدعای قابل قبولی نيست، بلکه آنچه که از ظاهر اخبار ـ مثل حسنه حلبی و معتبره داود بن سرحان ـ به دست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آيد اين است که استناد تدليس به کسی است که متولی امر نکاح باشد به نحوی که عرفاً گفته شود که او سبب نکاح بين زوج و زوجه شده است. در واقع مدلّس دارای حقيقت شرعيه نيست، بلکه مدلّس در نزد شرع همان کسی است که عرف نيز او را مدلّس محسوب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کند.</w:t>
      </w:r>
    </w:p>
    <w:p w14:paraId="522F9384" w14:textId="77777777" w:rsidR="000577BF" w:rsidRDefault="000577BF" w:rsidP="005B6905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بنابر اين اگر کسی فقط متولی امر عقد باشد ولو اين که علم به عيب زوج يا زوجه داشته باشد و آن را بيان نکند، مدلّس محسوب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شود. همچنان که کسی که فقط مباشرت در برخی از مقدمات نکاح ـ مثل پيام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رسانی بين طرفين ـ داشته است و در باقی امور نکاح دخالتی نکرده است، عرفاً مدلّس به حساب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آيد ولو با وجود علم به عيب يکی از طرفين، آن را ابراز نکرده باشد.</w:t>
      </w:r>
    </w:p>
    <w:p w14:paraId="063B081F" w14:textId="77777777" w:rsidR="000577BF" w:rsidRDefault="000577BF" w:rsidP="005B6905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به عبارت ديگر تدليس عرفاً به کسی استناد دارد که وظيفه بيان عيب در نزد عرف محوّل به او باشد و در اين وظيفه کوتاهی کرده باشد.</w:t>
      </w:r>
    </w:p>
    <w:p w14:paraId="49DD05FE" w14:textId="7D37F88C" w:rsidR="005B6905" w:rsidRDefault="000577BF" w:rsidP="00A17467">
      <w:pPr>
        <w:widowControl w:val="0"/>
        <w:bidi/>
        <w:spacing w:after="0" w:line="26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قال صاحب الجواهر: «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لا مدخلي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ة للأجنبي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 xml:space="preserve"> المباشر للفظ العقد، والإنكاح الموجود في النص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 xml:space="preserve"> لا يراد منه مباشرة العقد، بل المراد منه من يسند 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إ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ليه التزويج على وجه إسناده إلى الأولياء العرفي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 xml:space="preserve">ين الذي يكون العقد عليها 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أ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حد ما وقع بأمرهم من مقد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مات النكاح، وهو الذي يراد منه ال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إ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علام بالأمر وإظهار الحال للزوج، كما أن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ّ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 xml:space="preserve">ه هو الذي يسند 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إ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ليه التفريط بترك ال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إخ</w:t>
      </w:r>
      <w:r w:rsidRPr="005B6905">
        <w:rPr>
          <w:rFonts w:cs="Abz-2 (Badr)"/>
          <w:color w:val="000000" w:themeColor="text1"/>
          <w:spacing w:val="-2"/>
          <w:sz w:val="28"/>
          <w:szCs w:val="28"/>
          <w:rtl/>
          <w:lang w:bidi="fa-IR"/>
        </w:rPr>
        <w:t>بار</w:t>
      </w:r>
      <w:r w:rsidRPr="005B6905">
        <w:rPr>
          <w:rFonts w:cs="Abz-2 (Badr)" w:hint="cs"/>
          <w:color w:val="000000" w:themeColor="text1"/>
          <w:spacing w:val="-2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3"/>
      </w:r>
    </w:p>
    <w:bookmarkEnd w:id="0"/>
    <w:sectPr w:rsidR="005B6905">
      <w:footerReference w:type="default" r:id="rId7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2CA3" w14:textId="77777777" w:rsidR="00F71127" w:rsidRDefault="00F71127" w:rsidP="00F71127">
      <w:pPr>
        <w:spacing w:after="0" w:line="240" w:lineRule="auto"/>
      </w:pPr>
      <w:r>
        <w:separator/>
      </w:r>
    </w:p>
  </w:endnote>
  <w:endnote w:type="continuationSeparator" w:id="0">
    <w:p w14:paraId="49F2F136" w14:textId="77777777" w:rsidR="00F71127" w:rsidRDefault="00F71127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1F53" w14:textId="77777777" w:rsidR="00F71127" w:rsidRDefault="00F71127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C11652C" w14:textId="77777777" w:rsidR="00F71127" w:rsidRDefault="00F71127" w:rsidP="00F71127">
      <w:pPr>
        <w:bidi/>
        <w:spacing w:after="0" w:line="240" w:lineRule="auto"/>
      </w:pPr>
      <w:r>
        <w:continuationSeparator/>
      </w:r>
    </w:p>
  </w:footnote>
  <w:footnote w:id="1">
    <w:p w14:paraId="75A79A3E" w14:textId="77777777" w:rsidR="000577BF" w:rsidRPr="002D27AB" w:rsidRDefault="000577BF" w:rsidP="000577BF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منهاج،ج3،ص88.</w:t>
      </w:r>
    </w:p>
  </w:footnote>
  <w:footnote w:id="2">
    <w:p w14:paraId="39D52DBE" w14:textId="77777777" w:rsidR="000577BF" w:rsidRPr="002D27AB" w:rsidRDefault="000577BF" w:rsidP="000577BF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جامع المقاصد،ج13،ص285 و 286.</w:t>
      </w:r>
    </w:p>
  </w:footnote>
  <w:footnote w:id="3">
    <w:p w14:paraId="4248972F" w14:textId="77777777" w:rsidR="000577BF" w:rsidRPr="002D27AB" w:rsidRDefault="000577BF" w:rsidP="000577BF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جواهر،ج31،ص649.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577BF"/>
    <w:rsid w:val="0007062A"/>
    <w:rsid w:val="000F2E50"/>
    <w:rsid w:val="00101B80"/>
    <w:rsid w:val="001050A2"/>
    <w:rsid w:val="00145844"/>
    <w:rsid w:val="001922E4"/>
    <w:rsid w:val="0029688A"/>
    <w:rsid w:val="002A09CF"/>
    <w:rsid w:val="002D27AB"/>
    <w:rsid w:val="002E0246"/>
    <w:rsid w:val="00331A5F"/>
    <w:rsid w:val="003A199D"/>
    <w:rsid w:val="00487869"/>
    <w:rsid w:val="005327C7"/>
    <w:rsid w:val="005532E0"/>
    <w:rsid w:val="005B6905"/>
    <w:rsid w:val="0060689C"/>
    <w:rsid w:val="006C580F"/>
    <w:rsid w:val="0070259D"/>
    <w:rsid w:val="00703021"/>
    <w:rsid w:val="00706DD2"/>
    <w:rsid w:val="007374CF"/>
    <w:rsid w:val="00750FB1"/>
    <w:rsid w:val="008869B4"/>
    <w:rsid w:val="008F3842"/>
    <w:rsid w:val="00901208"/>
    <w:rsid w:val="009251BE"/>
    <w:rsid w:val="009A3CA7"/>
    <w:rsid w:val="009C1C9D"/>
    <w:rsid w:val="00A17467"/>
    <w:rsid w:val="00A62A68"/>
    <w:rsid w:val="00A75FB0"/>
    <w:rsid w:val="00A96A24"/>
    <w:rsid w:val="00AB148E"/>
    <w:rsid w:val="00BB28BF"/>
    <w:rsid w:val="00C004FA"/>
    <w:rsid w:val="00C8378C"/>
    <w:rsid w:val="00C9572F"/>
    <w:rsid w:val="00CA0BC4"/>
    <w:rsid w:val="00CD52E6"/>
    <w:rsid w:val="00D22A70"/>
    <w:rsid w:val="00D663C8"/>
    <w:rsid w:val="00D97411"/>
    <w:rsid w:val="00E214D7"/>
    <w:rsid w:val="00E6533A"/>
    <w:rsid w:val="00E77A81"/>
    <w:rsid w:val="00EE25C0"/>
    <w:rsid w:val="00F46AE2"/>
    <w:rsid w:val="00F46E3E"/>
    <w:rsid w:val="00F71127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F884"/>
  <w15:chartTrackingRefBased/>
  <w15:docId w15:val="{48489C64-85C9-42DB-A4D9-603EA0B1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 Mousavi</cp:lastModifiedBy>
  <cp:revision>16</cp:revision>
  <cp:lastPrinted>2022-10-10T17:37:00Z</cp:lastPrinted>
  <dcterms:created xsi:type="dcterms:W3CDTF">2022-10-08T06:35:00Z</dcterms:created>
  <dcterms:modified xsi:type="dcterms:W3CDTF">2022-10-11T07:16:00Z</dcterms:modified>
</cp:coreProperties>
</file>